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rPr>
          <w:rFonts w:ascii="Marianne" w:hAnsi="Marianne"/>
        </w:rPr>
        <w:sectPr>
          <w:headerReference w:type="default" r:id="rId8"/>
          <w:footerReference w:type="even" r:id="rId9"/>
          <w:footerReference w:type="default" r:id="rId10"/>
          <w:headerReference w:type="first" r:id="rId11"/>
          <w:footerReference w:type="first" r:id="rId12"/>
          <w:type w:val="continuous"/>
          <w:pgSz w:w="11910" w:h="16840"/>
          <w:pgMar w:top="964" w:right="964" w:bottom="964" w:left="964" w:header="964" w:footer="964" w:gutter="0"/>
          <w:cols w:space="720"/>
          <w:titlePg/>
          <w:docGrid w:linePitch="299"/>
        </w:sectPr>
      </w:pPr>
    </w:p>
    <w:p>
      <w:pPr>
        <w:pStyle w:val="Corpsdetexte"/>
        <w:rPr>
          <w:rFonts w:ascii="Marianne" w:hAnsi="Marianne"/>
          <w:noProof/>
        </w:rPr>
      </w:pPr>
    </w:p>
    <w:p>
      <w:pPr>
        <w:pStyle w:val="Corpsdetexte"/>
        <w:rPr>
          <w:rFonts w:ascii="Marianne" w:hAnsi="Marianne"/>
          <w:noProof/>
        </w:rPr>
      </w:pPr>
    </w:p>
    <w:p>
      <w:pPr>
        <w:pStyle w:val="Corpsdetexte"/>
        <w:rPr>
          <w:rFonts w:ascii="Marianne" w:hAnsi="Marianne"/>
        </w:rPr>
      </w:pPr>
    </w:p>
    <w:p>
      <w:pPr>
        <w:jc w:val="center"/>
        <w:outlineLvl w:val="0"/>
        <w:rPr>
          <w:rFonts w:ascii="Marianne" w:hAnsi="Marianne"/>
          <w:b/>
          <w:bCs/>
          <w:noProof/>
          <w:sz w:val="24"/>
          <w:szCs w:val="24"/>
          <w:lang w:val="fr-FR"/>
        </w:rPr>
      </w:pPr>
      <w:r>
        <w:rPr>
          <w:rFonts w:ascii="Marianne" w:hAnsi="Marianne"/>
          <w:b/>
          <w:bCs/>
          <w:noProof/>
          <w:sz w:val="24"/>
          <w:szCs w:val="24"/>
          <w:lang w:val="fr-FR"/>
        </w:rPr>
        <w:t xml:space="preserve">Fiche pédagogique présentant aux fournisseurs </w:t>
      </w:r>
    </w:p>
    <w:p>
      <w:pPr>
        <w:jc w:val="center"/>
        <w:outlineLvl w:val="0"/>
        <w:rPr>
          <w:rFonts w:ascii="Marianne" w:hAnsi="Marianne"/>
          <w:b/>
          <w:bCs/>
          <w:noProof/>
          <w:sz w:val="24"/>
          <w:szCs w:val="24"/>
          <w:lang w:val="fr-FR"/>
        </w:rPr>
      </w:pPr>
      <w:r>
        <w:rPr>
          <w:rFonts w:ascii="Marianne" w:hAnsi="Marianne"/>
          <w:b/>
          <w:bCs/>
          <w:noProof/>
          <w:sz w:val="24"/>
          <w:szCs w:val="24"/>
          <w:lang w:val="fr-FR"/>
        </w:rPr>
        <w:t xml:space="preserve">l’utilisation de la carte d’achat dans le cadre d’un marché public  </w:t>
      </w:r>
    </w:p>
    <w:p>
      <w:pPr>
        <w:jc w:val="center"/>
        <w:rPr>
          <w:rFonts w:ascii="Marianne" w:hAnsi="Marianne"/>
          <w:noProof/>
          <w:sz w:val="20"/>
          <w:szCs w:val="20"/>
          <w:lang w:val="fr-FR"/>
        </w:rPr>
      </w:pPr>
      <w:r>
        <w:rPr>
          <w:rFonts w:ascii="Marianne" w:hAnsi="Marianne"/>
          <w:noProof/>
          <w:sz w:val="20"/>
          <w:szCs w:val="20"/>
          <w:lang w:val="fr-FR"/>
        </w:rPr>
        <w:t xml:space="preserve">Instruction interministérielle relative au déploiement </w:t>
      </w:r>
    </w:p>
    <w:p>
      <w:pPr>
        <w:jc w:val="center"/>
        <w:rPr>
          <w:rFonts w:ascii="Marianne" w:hAnsi="Marianne"/>
          <w:noProof/>
          <w:sz w:val="20"/>
          <w:szCs w:val="20"/>
          <w:lang w:val="fr-FR"/>
        </w:rPr>
      </w:pPr>
      <w:r>
        <w:rPr>
          <w:rFonts w:ascii="Marianne" w:hAnsi="Marianne"/>
          <w:noProof/>
          <w:sz w:val="20"/>
          <w:szCs w:val="20"/>
          <w:lang w:val="fr-FR"/>
        </w:rPr>
        <w:t xml:space="preserve">et à l’utilisation de la carte affaires et de la carte d’achat </w:t>
      </w:r>
    </w:p>
    <w:p>
      <w:pPr>
        <w:jc w:val="center"/>
        <w:rPr>
          <w:rFonts w:ascii="Marianne" w:hAnsi="Marianne"/>
          <w:noProof/>
          <w:sz w:val="14"/>
          <w:szCs w:val="14"/>
          <w:lang w:val="fr-FR"/>
        </w:rPr>
      </w:pPr>
      <w:r>
        <w:rPr>
          <w:rFonts w:ascii="Marianne" w:hAnsi="Marianne"/>
          <w:noProof/>
          <w:sz w:val="20"/>
          <w:szCs w:val="20"/>
          <w:lang w:val="fr-FR"/>
        </w:rPr>
        <w:t>ANNEXE 5</w:t>
      </w:r>
    </w:p>
    <w:p>
      <w:pPr>
        <w:jc w:val="center"/>
        <w:rPr>
          <w:rFonts w:ascii="Marianne" w:hAnsi="Marianne"/>
          <w:noProof/>
          <w:sz w:val="16"/>
          <w:szCs w:val="16"/>
          <w:lang w:val="fr-FR"/>
        </w:rPr>
      </w:pPr>
    </w:p>
    <w:p>
      <w:pPr>
        <w:tabs>
          <w:tab w:val="right" w:pos="9026"/>
        </w:tabs>
        <w:jc w:val="right"/>
        <w:rPr>
          <w:rFonts w:ascii="Marianne" w:hAnsi="Marianne"/>
          <w:b/>
          <w:bCs/>
          <w:noProof/>
          <w:sz w:val="24"/>
          <w:szCs w:val="24"/>
          <w:lang w:val="fr-FR"/>
        </w:rPr>
      </w:pPr>
    </w:p>
    <w:p>
      <w:pPr>
        <w:rPr>
          <w:rFonts w:ascii="Marianne" w:hAnsi="Marianne"/>
          <w:noProof/>
          <w:sz w:val="20"/>
          <w:szCs w:val="20"/>
          <w:lang w:val="fr-FR"/>
        </w:rPr>
      </w:pPr>
    </w:p>
    <w:p>
      <w:pPr>
        <w:shd w:val="clear" w:color="auto" w:fill="B6B6FF" w:themeFill="background2" w:themeFillTint="33"/>
        <w:spacing w:after="120"/>
        <w:jc w:val="both"/>
        <w:rPr>
          <w:rFonts w:ascii="Marianne" w:hAnsi="Marianne"/>
          <w:b/>
          <w:bCs/>
          <w:noProof/>
          <w:lang w:val="fr-FR"/>
        </w:rPr>
      </w:pPr>
      <w:r>
        <w:rPr>
          <w:rFonts w:ascii="Marianne" w:hAnsi="Marianne"/>
          <w:b/>
          <w:bCs/>
          <w:noProof/>
          <w:lang w:val="fr-FR"/>
        </w:rPr>
        <w:t>Qu’est-ce que la carte d’achat ?</w:t>
      </w:r>
    </w:p>
    <w:p>
      <w:pPr>
        <w:spacing w:before="120" w:after="120" w:line="276" w:lineRule="auto"/>
        <w:jc w:val="both"/>
        <w:rPr>
          <w:rFonts w:ascii="Marianne" w:hAnsi="Marianne"/>
          <w:noProof/>
          <w:sz w:val="21"/>
          <w:szCs w:val="21"/>
          <w:lang w:val="fr-FR"/>
        </w:rPr>
      </w:pPr>
      <w:r>
        <w:rPr>
          <w:rFonts w:ascii="Marianne" w:hAnsi="Marianne"/>
          <w:noProof/>
          <w:sz w:val="21"/>
          <w:szCs w:val="21"/>
          <w:lang w:val="fr-FR"/>
        </w:rPr>
        <w:t>Le recours au paiement par carte d’achat est encadré par le décret n° 2023-209 du 27 mars 2023 relatif à l'exécution de la dépense publique par carte d'achat.</w:t>
      </w:r>
    </w:p>
    <w:p>
      <w:pPr>
        <w:spacing w:before="120" w:after="120" w:line="276" w:lineRule="auto"/>
        <w:jc w:val="both"/>
        <w:rPr>
          <w:rFonts w:ascii="Marianne" w:hAnsi="Marianne"/>
          <w:noProof/>
          <w:sz w:val="21"/>
          <w:szCs w:val="21"/>
          <w:lang w:val="fr-FR"/>
        </w:rPr>
      </w:pPr>
      <w:r>
        <w:rPr>
          <w:rFonts w:ascii="Marianne" w:hAnsi="Marianne"/>
          <w:noProof/>
          <w:sz w:val="21"/>
          <w:szCs w:val="21"/>
          <w:lang w:val="fr-FR"/>
        </w:rPr>
        <w:t>La carte d'achat est l’un des moyens de commande et de paiement des marchés publics. Elle s’inscrit dans la volonté de l’Etat de dématérialiser les données de facturation. Cette carte bancaire à autorisation systématique (plafonds et autorisations contrôlés à chaque utilisation) permet de déléguer l’acte d’achat auprès des agents publics appartenant aux structures bénéficiaires des biens et services achetés.</w:t>
      </w:r>
    </w:p>
    <w:p>
      <w:pPr>
        <w:spacing w:before="120" w:after="120" w:line="276" w:lineRule="auto"/>
        <w:jc w:val="both"/>
        <w:rPr>
          <w:rFonts w:ascii="Marianne" w:hAnsi="Marianne"/>
          <w:b/>
          <w:bCs/>
          <w:noProof/>
          <w:sz w:val="21"/>
          <w:szCs w:val="21"/>
          <w:lang w:val="fr-FR"/>
        </w:rPr>
      </w:pPr>
      <w:r>
        <w:rPr>
          <w:rFonts w:ascii="Marianne" w:hAnsi="Marianne"/>
          <w:noProof/>
          <w:sz w:val="21"/>
          <w:szCs w:val="21"/>
          <w:lang w:val="fr-FR"/>
        </w:rPr>
        <w:t xml:space="preserve">Elle est utilisée </w:t>
      </w:r>
      <w:r>
        <w:rPr>
          <w:rFonts w:ascii="Marianne" w:hAnsi="Marianne"/>
          <w:b/>
          <w:bCs/>
          <w:noProof/>
          <w:sz w:val="21"/>
          <w:szCs w:val="21"/>
          <w:lang w:val="fr-FR"/>
        </w:rPr>
        <w:t xml:space="preserve">pour l’exécution de certains marchés à bons de commande. </w:t>
      </w:r>
    </w:p>
    <w:p>
      <w:pPr>
        <w:spacing w:before="120" w:after="120" w:line="276" w:lineRule="auto"/>
        <w:jc w:val="both"/>
        <w:rPr>
          <w:rFonts w:ascii="Marianne" w:hAnsi="Marianne"/>
          <w:noProof/>
          <w:sz w:val="21"/>
          <w:szCs w:val="21"/>
          <w:lang w:val="fr-FR"/>
        </w:rPr>
      </w:pPr>
      <w:r>
        <w:rPr>
          <w:rFonts w:ascii="Marianne" w:hAnsi="Marianne"/>
          <w:noProof/>
          <w:sz w:val="21"/>
          <w:szCs w:val="21"/>
          <w:lang w:val="fr-FR"/>
        </w:rPr>
        <w:t>Dans les cas où un marché peut- être exécuté par carte d’achat, les documents du marché le précisent.</w:t>
      </w:r>
    </w:p>
    <w:p>
      <w:pPr>
        <w:spacing w:before="120" w:after="120" w:line="276" w:lineRule="auto"/>
        <w:jc w:val="both"/>
        <w:rPr>
          <w:rFonts w:ascii="Marianne" w:hAnsi="Marianne"/>
          <w:noProof/>
          <w:sz w:val="21"/>
          <w:szCs w:val="21"/>
          <w:lang w:val="fr-FR"/>
        </w:rPr>
      </w:pPr>
      <w:r>
        <w:rPr>
          <w:rFonts w:ascii="Marianne" w:hAnsi="Marianne"/>
          <w:noProof/>
          <w:sz w:val="21"/>
          <w:szCs w:val="21"/>
          <w:lang w:val="fr-FR"/>
        </w:rPr>
        <w:t>Les autorisations bancaires utilisées pour le paiement de commandes sur marché écrit véhiculent des données détaillées dites de transactions de niveau 3. Ce niveau tient aux informations figurant dans les relevés d’opérations pour ces transactions à savoir : le numéro de l’engagement juridique (la référence du marché, traduction financière du marché public), les références des articles commandés, les quantités, les prix unitaires, les prix totaux, la ventilation des taux de TVA et leurs totaux.</w:t>
      </w:r>
    </w:p>
    <w:p>
      <w:pPr>
        <w:spacing w:line="276" w:lineRule="auto"/>
        <w:jc w:val="both"/>
        <w:rPr>
          <w:rFonts w:ascii="Marianne" w:hAnsi="Marianne"/>
          <w:noProof/>
          <w:sz w:val="20"/>
          <w:szCs w:val="20"/>
          <w:lang w:val="fr-FR"/>
        </w:rPr>
      </w:pPr>
    </w:p>
    <w:p>
      <w:pPr>
        <w:shd w:val="clear" w:color="auto" w:fill="B6B6FF" w:themeFill="background2" w:themeFillTint="33"/>
        <w:spacing w:after="120"/>
        <w:ind w:left="426" w:hanging="360"/>
        <w:jc w:val="both"/>
        <w:rPr>
          <w:rFonts w:ascii="Marianne" w:hAnsi="Marianne"/>
          <w:b/>
          <w:bCs/>
          <w:noProof/>
          <w:lang w:val="fr-FR"/>
        </w:rPr>
      </w:pPr>
      <w:r>
        <w:rPr>
          <w:rFonts w:ascii="Marianne" w:hAnsi="Marianne"/>
          <w:b/>
          <w:bCs/>
          <w:noProof/>
          <w:lang w:val="fr-FR"/>
        </w:rPr>
        <w:t>Comment fonctionne une carte d’achat ?</w:t>
      </w:r>
    </w:p>
    <w:p>
      <w:pPr>
        <w:spacing w:before="120" w:after="120" w:line="276" w:lineRule="auto"/>
        <w:jc w:val="both"/>
        <w:rPr>
          <w:rFonts w:ascii="Marianne" w:hAnsi="Marianne"/>
          <w:noProof/>
          <w:sz w:val="21"/>
          <w:szCs w:val="21"/>
          <w:lang w:val="fr-FR"/>
        </w:rPr>
      </w:pPr>
      <w:r>
        <w:rPr>
          <w:rFonts w:ascii="Marianne" w:hAnsi="Marianne"/>
          <w:noProof/>
          <w:sz w:val="21"/>
          <w:szCs w:val="21"/>
          <w:lang w:val="fr-FR"/>
        </w:rPr>
        <w:t>La carte d’achat est une carte bancaire à autorisation systématique. Pour mettre en place les paiements par carte d’achat sur un marché, le titulaire du marché doit disposer d’un contrat monétique avec l’une des banques adhérentes au réseau privé « N3 ».</w:t>
      </w:r>
    </w:p>
    <w:p>
      <w:pPr>
        <w:numPr>
          <w:ilvl w:val="0"/>
          <w:numId w:val="6"/>
        </w:numPr>
        <w:spacing w:before="120" w:after="120" w:line="276" w:lineRule="auto"/>
        <w:jc w:val="both"/>
        <w:rPr>
          <w:rFonts w:ascii="Marianne" w:hAnsi="Marianne"/>
          <w:noProof/>
          <w:sz w:val="21"/>
          <w:szCs w:val="21"/>
          <w:lang w:val="fr-FR"/>
        </w:rPr>
      </w:pPr>
      <w:r>
        <w:rPr>
          <w:rFonts w:ascii="Marianne" w:hAnsi="Marianne"/>
          <w:noProof/>
          <w:sz w:val="21"/>
          <w:szCs w:val="21"/>
          <w:lang w:val="fr-FR"/>
        </w:rPr>
        <w:t xml:space="preserve">La carte d'achat est confiée à un </w:t>
      </w:r>
      <w:r>
        <w:rPr>
          <w:rFonts w:ascii="Marianne" w:hAnsi="Marianne"/>
          <w:b/>
          <w:bCs/>
          <w:noProof/>
          <w:sz w:val="21"/>
          <w:szCs w:val="21"/>
          <w:lang w:val="fr-FR"/>
        </w:rPr>
        <w:t>porteur</w:t>
      </w:r>
      <w:r>
        <w:rPr>
          <w:rFonts w:ascii="Marianne" w:hAnsi="Marianne"/>
          <w:noProof/>
          <w:sz w:val="21"/>
          <w:szCs w:val="21"/>
          <w:lang w:val="fr-FR"/>
        </w:rPr>
        <w:t xml:space="preserve">, </w:t>
      </w:r>
      <w:r>
        <w:rPr>
          <w:rFonts w:ascii="Marianne" w:hAnsi="Marianne"/>
          <w:b/>
          <w:bCs/>
          <w:noProof/>
          <w:sz w:val="21"/>
          <w:szCs w:val="21"/>
          <w:lang w:val="fr-FR"/>
        </w:rPr>
        <w:t>personne physique</w:t>
      </w:r>
      <w:r>
        <w:rPr>
          <w:rFonts w:ascii="Marianne" w:hAnsi="Marianne"/>
          <w:noProof/>
          <w:sz w:val="21"/>
          <w:szCs w:val="21"/>
          <w:lang w:val="fr-FR"/>
        </w:rPr>
        <w:t xml:space="preserve"> qui, dans le cadre d’un plafond de dépense et d’autorisations, l'utilise pour commander et régler ses achats effectués auprès du titulaire du marché public. Le porteur de la carte est le seul utilisateur habilité à passer </w:t>
      </w:r>
      <w:r>
        <w:rPr>
          <w:rFonts w:ascii="Marianne" w:hAnsi="Marianne"/>
          <w:noProof/>
          <w:sz w:val="21"/>
          <w:szCs w:val="21"/>
          <w:lang w:val="fr-FR"/>
        </w:rPr>
        <w:lastRenderedPageBreak/>
        <w:t>des commandes et effectuer des achats avec la carte d'achat qui est sous sa responsabilité personnelle. Le porteur doit passer commande sur le site internet sécurisé du titulaire.</w:t>
      </w:r>
    </w:p>
    <w:p>
      <w:pPr>
        <w:numPr>
          <w:ilvl w:val="0"/>
          <w:numId w:val="6"/>
        </w:numPr>
        <w:spacing w:before="120" w:after="120" w:line="276" w:lineRule="auto"/>
        <w:jc w:val="both"/>
        <w:rPr>
          <w:rFonts w:ascii="Marianne" w:hAnsi="Marianne"/>
          <w:noProof/>
          <w:sz w:val="21"/>
          <w:szCs w:val="21"/>
          <w:lang w:val="fr-FR"/>
        </w:rPr>
      </w:pPr>
      <w:r>
        <w:rPr>
          <w:rFonts w:ascii="Marianne" w:hAnsi="Marianne"/>
          <w:noProof/>
          <w:sz w:val="21"/>
          <w:szCs w:val="21"/>
          <w:lang w:val="fr-FR"/>
        </w:rPr>
        <w:t xml:space="preserve">Le </w:t>
      </w:r>
      <w:r>
        <w:rPr>
          <w:rFonts w:ascii="Marianne" w:hAnsi="Marianne"/>
          <w:b/>
          <w:bCs/>
          <w:noProof/>
          <w:sz w:val="21"/>
          <w:szCs w:val="21"/>
          <w:lang w:val="fr-FR"/>
        </w:rPr>
        <w:t>titulaire du marché</w:t>
      </w:r>
      <w:r>
        <w:rPr>
          <w:rFonts w:ascii="Marianne" w:hAnsi="Marianne"/>
          <w:noProof/>
          <w:sz w:val="21"/>
          <w:szCs w:val="21"/>
          <w:lang w:val="fr-FR"/>
        </w:rPr>
        <w:t>, réceptionne la demande du porteur et, après avoir vérifié qu’il peut honorer cette commande, initie la transaction. Cette action déclenche une demande d’autorisation bancaire qui est acceptée ou refusée par l’émetteur de cartes. Les contrôles appliqués portent sur les plafonds accordés au porteur et sur les autorisations qui lui ont été accordées pour commander ou non sur le marché du titulaire.</w:t>
      </w:r>
    </w:p>
    <w:p>
      <w:pPr>
        <w:spacing w:before="120" w:after="120" w:line="276" w:lineRule="auto"/>
        <w:ind w:left="720"/>
        <w:jc w:val="both"/>
        <w:rPr>
          <w:rFonts w:ascii="Marianne" w:hAnsi="Marianne"/>
          <w:noProof/>
          <w:sz w:val="21"/>
          <w:szCs w:val="21"/>
          <w:lang w:val="fr-FR"/>
        </w:rPr>
      </w:pPr>
      <w:r>
        <w:rPr>
          <w:rFonts w:ascii="Marianne" w:hAnsi="Marianne"/>
          <w:noProof/>
          <w:sz w:val="21"/>
          <w:szCs w:val="21"/>
          <w:lang w:val="fr-FR"/>
        </w:rPr>
        <w:t>Le titulaire doit donc connaitre le n° d’engagement juridique transmis par l’acheteur du marché, pour pouvoir le transmettre sur les demandes d’autorisation bancaires.</w:t>
      </w:r>
    </w:p>
    <w:p>
      <w:pPr>
        <w:spacing w:before="120" w:after="120" w:line="276" w:lineRule="auto"/>
        <w:ind w:left="720"/>
        <w:jc w:val="both"/>
        <w:rPr>
          <w:rFonts w:ascii="Marianne" w:hAnsi="Marianne"/>
          <w:noProof/>
          <w:sz w:val="21"/>
          <w:szCs w:val="21"/>
          <w:lang w:val="fr-FR"/>
        </w:rPr>
      </w:pPr>
      <w:r>
        <w:rPr>
          <w:rFonts w:ascii="Marianne" w:hAnsi="Marianne"/>
          <w:noProof/>
          <w:sz w:val="21"/>
          <w:szCs w:val="21"/>
          <w:lang w:val="fr-FR"/>
        </w:rPr>
        <w:t>Quand l’autorisation bancaire est accordée, le titulaire fournit le bien ou le service demandé par le porteur qui vérifie la conformité de la livraison. Le jour de la livraison, le titulaire présente son autorisation bancaire à la télécollecte.</w:t>
      </w:r>
    </w:p>
    <w:p>
      <w:pPr>
        <w:numPr>
          <w:ilvl w:val="0"/>
          <w:numId w:val="6"/>
        </w:numPr>
        <w:spacing w:before="120" w:after="120" w:line="276" w:lineRule="auto"/>
        <w:jc w:val="both"/>
        <w:rPr>
          <w:rFonts w:ascii="Marianne" w:hAnsi="Marianne"/>
          <w:noProof/>
          <w:sz w:val="21"/>
          <w:szCs w:val="21"/>
          <w:lang w:val="fr-FR"/>
        </w:rPr>
      </w:pPr>
      <w:r>
        <w:rPr>
          <w:rFonts w:ascii="Marianne" w:hAnsi="Marianne"/>
          <w:noProof/>
          <w:sz w:val="21"/>
          <w:szCs w:val="21"/>
          <w:lang w:val="fr-FR"/>
        </w:rPr>
        <w:t xml:space="preserve">La présentation de la télécollecte déclenche le paiement du fournisseur par </w:t>
      </w:r>
      <w:r>
        <w:rPr>
          <w:rFonts w:ascii="Marianne" w:hAnsi="Marianne"/>
          <w:b/>
          <w:bCs/>
          <w:noProof/>
          <w:sz w:val="21"/>
          <w:szCs w:val="21"/>
          <w:lang w:val="fr-FR"/>
        </w:rPr>
        <w:t>l’émetteur des cartes</w:t>
      </w:r>
      <w:r>
        <w:rPr>
          <w:rFonts w:ascii="Marianne" w:hAnsi="Marianne"/>
          <w:noProof/>
          <w:sz w:val="21"/>
          <w:szCs w:val="21"/>
          <w:lang w:val="fr-FR"/>
        </w:rPr>
        <w:t xml:space="preserve"> via l’établissement financier du fournisseur (chambre de compensation) dans un délai de 0 à 4 jours. Il s’opère ainsi une cession de créance entre le titulaire du marché et l’émetteur des cartes d’achat qui devient créancier subrogatoire de l’Etat.</w:t>
      </w:r>
    </w:p>
    <w:p>
      <w:pPr>
        <w:spacing w:line="276" w:lineRule="auto"/>
        <w:rPr>
          <w:b/>
          <w:noProof/>
          <w:sz w:val="21"/>
          <w:szCs w:val="21"/>
          <w:lang w:val="fr-FR"/>
        </w:rPr>
      </w:pPr>
    </w:p>
    <w:p>
      <w:pPr>
        <w:spacing w:line="276" w:lineRule="auto"/>
        <w:jc w:val="both"/>
        <w:rPr>
          <w:rFonts w:ascii="Marianne" w:hAnsi="Marianne"/>
          <w:noProof/>
          <w:sz w:val="21"/>
          <w:szCs w:val="21"/>
          <w:lang w:val="fr-FR"/>
        </w:rPr>
      </w:pPr>
      <w:r>
        <w:rPr>
          <w:rFonts w:ascii="Marianne" w:hAnsi="Marianne"/>
          <w:noProof/>
          <w:sz w:val="21"/>
          <w:szCs w:val="21"/>
          <w:lang w:val="fr-FR"/>
        </w:rPr>
        <w:t>Le schéma ci-dessous présente ces interactions :</w:t>
      </w:r>
    </w:p>
    <w:p>
      <w:pPr>
        <w:jc w:val="center"/>
        <w:rPr>
          <w:b/>
          <w:noProof/>
          <w:sz w:val="20"/>
          <w:szCs w:val="20"/>
          <w:lang w:val="fr-FR"/>
        </w:rPr>
      </w:pPr>
      <w:r>
        <w:rPr>
          <w:b/>
          <w:noProof/>
          <w:sz w:val="20"/>
          <w:szCs w:val="20"/>
          <w:lang w:val="fr-FR"/>
        </w:rPr>
        <w:drawing>
          <wp:inline distT="0" distB="0" distL="0" distR="0">
            <wp:extent cx="5238750" cy="3201899"/>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1433" cy="3209651"/>
                    </a:xfrm>
                    <a:prstGeom prst="rect">
                      <a:avLst/>
                    </a:prstGeom>
                    <a:noFill/>
                  </pic:spPr>
                </pic:pic>
              </a:graphicData>
            </a:graphic>
          </wp:inline>
        </w:drawing>
      </w:r>
    </w:p>
    <w:p>
      <w:pPr>
        <w:rPr>
          <w:b/>
          <w:noProof/>
          <w:sz w:val="20"/>
          <w:szCs w:val="20"/>
          <w:lang w:val="fr-FR"/>
        </w:rPr>
      </w:pPr>
      <w:r>
        <w:rPr>
          <w:b/>
          <w:noProof/>
          <w:sz w:val="20"/>
          <w:szCs w:val="20"/>
          <w:lang w:val="fr-FR"/>
        </w:rPr>
        <w:br w:type="page"/>
      </w:r>
    </w:p>
    <w:p>
      <w:pPr>
        <w:keepNext/>
        <w:shd w:val="clear" w:color="auto" w:fill="B6B6FF" w:themeFill="background2" w:themeFillTint="33"/>
        <w:spacing w:after="120"/>
        <w:jc w:val="both"/>
        <w:rPr>
          <w:rFonts w:ascii="Marianne" w:hAnsi="Marianne"/>
          <w:b/>
          <w:bCs/>
          <w:noProof/>
          <w:lang w:val="fr-FR"/>
        </w:rPr>
      </w:pPr>
      <w:r>
        <w:rPr>
          <w:rFonts w:ascii="Marianne" w:hAnsi="Marianne"/>
          <w:b/>
          <w:bCs/>
          <w:noProof/>
          <w:lang w:val="fr-FR"/>
        </w:rPr>
        <w:lastRenderedPageBreak/>
        <w:t>Quels avantages pour le titulaire d’un marché ?</w:t>
      </w:r>
    </w:p>
    <w:p>
      <w:pPr>
        <w:keepNext/>
        <w:spacing w:before="120" w:after="120" w:line="276" w:lineRule="auto"/>
        <w:jc w:val="both"/>
        <w:rPr>
          <w:rFonts w:ascii="Marianne" w:hAnsi="Marianne"/>
          <w:noProof/>
          <w:sz w:val="21"/>
          <w:szCs w:val="21"/>
          <w:lang w:val="fr-FR"/>
        </w:rPr>
      </w:pPr>
      <w:r>
        <w:rPr>
          <w:rFonts w:ascii="Marianne" w:hAnsi="Marianne"/>
          <w:noProof/>
          <w:sz w:val="21"/>
          <w:szCs w:val="21"/>
          <w:lang w:val="fr-FR"/>
        </w:rPr>
        <w:t>Si les avantages de la carte d’achat peuvent varier selon les entreprises, selon un retour d’expérience</w:t>
      </w:r>
      <w:r>
        <w:rPr>
          <w:b/>
          <w:noProof/>
          <w:sz w:val="21"/>
          <w:szCs w:val="21"/>
          <w:lang w:val="fr-FR"/>
        </w:rPr>
        <w:t xml:space="preserve"> </w:t>
      </w:r>
      <w:r>
        <w:rPr>
          <w:rFonts w:ascii="Marianne" w:hAnsi="Marianne"/>
          <w:noProof/>
          <w:sz w:val="21"/>
          <w:szCs w:val="21"/>
          <w:lang w:val="fr-FR"/>
        </w:rPr>
        <w:t xml:space="preserve">réalisé auprès de fournisseurs l’ayant déjà mis en place, la carte d’achat présente toutefois les avantages communs suivants : </w:t>
      </w:r>
    </w:p>
    <w:tbl>
      <w:tblPr>
        <w:tblW w:w="10206" w:type="dxa"/>
        <w:tblCellMar>
          <w:left w:w="5" w:type="dxa"/>
          <w:right w:w="5" w:type="dxa"/>
        </w:tblCellMar>
        <w:tblLook w:val="04A0" w:firstRow="1" w:lastRow="0" w:firstColumn="1" w:lastColumn="0" w:noHBand="0" w:noVBand="1"/>
      </w:tblPr>
      <w:tblGrid>
        <w:gridCol w:w="3534"/>
        <w:gridCol w:w="6672"/>
      </w:tblGrid>
      <w:tr>
        <w:trPr>
          <w:trHeight w:val="737"/>
        </w:trPr>
        <w:tc>
          <w:tcPr>
            <w:tcW w:w="3534" w:type="dxa"/>
            <w:shd w:val="clear" w:color="auto" w:fill="auto"/>
            <w:vAlign w:val="center"/>
          </w:tcPr>
          <w:p>
            <w:pPr>
              <w:keepNext/>
              <w:rPr>
                <w:rFonts w:ascii="Marianne" w:hAnsi="Marianne"/>
                <w:b/>
                <w:bCs/>
                <w:noProof/>
                <w:sz w:val="21"/>
                <w:szCs w:val="21"/>
                <w:lang w:val="fr-FR"/>
              </w:rPr>
            </w:pPr>
            <w:r>
              <w:rPr>
                <w:rFonts w:ascii="Marianne" w:hAnsi="Marianne"/>
                <w:b/>
                <w:bCs/>
                <w:noProof/>
                <w:sz w:val="21"/>
                <w:szCs w:val="21"/>
                <w:lang w:val="fr-FR"/>
              </w:rPr>
              <w:t>Des coûts administratifs réduits</w:t>
            </w:r>
          </w:p>
        </w:tc>
        <w:tc>
          <w:tcPr>
            <w:tcW w:w="6672" w:type="dxa"/>
            <w:shd w:val="clear" w:color="auto" w:fill="auto"/>
            <w:vAlign w:val="center"/>
          </w:tcPr>
          <w:p>
            <w:pPr>
              <w:keepNext/>
              <w:numPr>
                <w:ilvl w:val="0"/>
                <w:numId w:val="6"/>
              </w:numPr>
              <w:spacing w:before="2"/>
              <w:rPr>
                <w:rFonts w:ascii="Marianne" w:hAnsi="Marianne"/>
                <w:noProof/>
                <w:sz w:val="21"/>
                <w:szCs w:val="21"/>
                <w:lang w:val="fr-FR"/>
              </w:rPr>
            </w:pPr>
            <w:r>
              <w:rPr>
                <w:rFonts w:ascii="Marianne" w:hAnsi="Marianne"/>
                <w:noProof/>
                <w:sz w:val="21"/>
                <w:szCs w:val="21"/>
                <w:lang w:val="fr-FR"/>
              </w:rPr>
              <w:t>Suppression des relances clients</w:t>
            </w:r>
          </w:p>
          <w:p>
            <w:pPr>
              <w:keepNext/>
              <w:numPr>
                <w:ilvl w:val="0"/>
                <w:numId w:val="6"/>
              </w:numPr>
              <w:spacing w:before="2"/>
              <w:rPr>
                <w:rFonts w:ascii="Marianne" w:hAnsi="Marianne"/>
                <w:noProof/>
                <w:sz w:val="21"/>
                <w:szCs w:val="21"/>
                <w:lang w:val="fr-FR"/>
              </w:rPr>
            </w:pPr>
            <w:r>
              <w:rPr>
                <w:rFonts w:ascii="Marianne" w:hAnsi="Marianne"/>
                <w:noProof/>
                <w:sz w:val="21"/>
                <w:szCs w:val="21"/>
                <w:lang w:val="fr-FR"/>
              </w:rPr>
              <w:t>Meilleur rapprochement entre factures et règlements</w:t>
            </w:r>
          </w:p>
        </w:tc>
      </w:tr>
      <w:tr>
        <w:trPr>
          <w:trHeight w:val="737"/>
        </w:trPr>
        <w:tc>
          <w:tcPr>
            <w:tcW w:w="3534" w:type="dxa"/>
            <w:shd w:val="clear" w:color="auto" w:fill="auto"/>
            <w:vAlign w:val="center"/>
          </w:tcPr>
          <w:p>
            <w:pPr>
              <w:rPr>
                <w:rFonts w:ascii="Marianne" w:hAnsi="Marianne"/>
                <w:b/>
                <w:bCs/>
                <w:noProof/>
                <w:sz w:val="21"/>
                <w:szCs w:val="21"/>
                <w:lang w:val="fr-FR"/>
              </w:rPr>
            </w:pPr>
            <w:r>
              <w:rPr>
                <w:rFonts w:ascii="Marianne" w:hAnsi="Marianne"/>
                <w:b/>
                <w:bCs/>
                <w:noProof/>
                <w:sz w:val="21"/>
                <w:szCs w:val="21"/>
                <w:lang w:val="fr-FR"/>
              </w:rPr>
              <w:t>Une trésorerie améliorée</w:t>
            </w:r>
          </w:p>
        </w:tc>
        <w:tc>
          <w:tcPr>
            <w:tcW w:w="6672" w:type="dxa"/>
            <w:shd w:val="clear" w:color="auto" w:fill="auto"/>
            <w:vAlign w:val="center"/>
          </w:tcPr>
          <w:p>
            <w:pPr>
              <w:numPr>
                <w:ilvl w:val="0"/>
                <w:numId w:val="6"/>
              </w:numPr>
              <w:spacing w:before="2"/>
              <w:rPr>
                <w:rFonts w:ascii="Marianne" w:hAnsi="Marianne"/>
                <w:noProof/>
                <w:sz w:val="21"/>
                <w:szCs w:val="21"/>
                <w:lang w:val="fr-FR"/>
              </w:rPr>
            </w:pPr>
            <w:r>
              <w:rPr>
                <w:rFonts w:ascii="Marianne" w:hAnsi="Marianne"/>
                <w:noProof/>
                <w:sz w:val="21"/>
                <w:szCs w:val="21"/>
                <w:lang w:val="fr-FR"/>
              </w:rPr>
              <w:t xml:space="preserve">Garantie de paiement </w:t>
            </w:r>
          </w:p>
          <w:p>
            <w:pPr>
              <w:numPr>
                <w:ilvl w:val="0"/>
                <w:numId w:val="6"/>
              </w:numPr>
              <w:spacing w:before="2"/>
              <w:rPr>
                <w:rFonts w:ascii="Marianne" w:hAnsi="Marianne"/>
                <w:noProof/>
                <w:sz w:val="21"/>
                <w:szCs w:val="21"/>
                <w:lang w:val="fr-FR"/>
              </w:rPr>
            </w:pPr>
            <w:r>
              <w:rPr>
                <w:rFonts w:ascii="Marianne" w:hAnsi="Marianne"/>
                <w:noProof/>
                <w:sz w:val="21"/>
                <w:szCs w:val="21"/>
                <w:lang w:val="fr-FR"/>
              </w:rPr>
              <w:t>Diminution des délais de paiement</w:t>
            </w:r>
          </w:p>
        </w:tc>
      </w:tr>
      <w:tr>
        <w:trPr>
          <w:trHeight w:val="737"/>
        </w:trPr>
        <w:tc>
          <w:tcPr>
            <w:tcW w:w="3534" w:type="dxa"/>
            <w:shd w:val="clear" w:color="auto" w:fill="auto"/>
            <w:vAlign w:val="center"/>
          </w:tcPr>
          <w:p>
            <w:pPr>
              <w:rPr>
                <w:rFonts w:ascii="Marianne" w:hAnsi="Marianne"/>
                <w:b/>
                <w:bCs/>
                <w:noProof/>
                <w:sz w:val="21"/>
                <w:szCs w:val="21"/>
                <w:lang w:val="fr-FR"/>
              </w:rPr>
            </w:pPr>
            <w:r>
              <w:rPr>
                <w:rFonts w:ascii="Marianne" w:hAnsi="Marianne"/>
                <w:b/>
                <w:bCs/>
                <w:noProof/>
                <w:sz w:val="21"/>
                <w:szCs w:val="21"/>
                <w:lang w:val="fr-FR"/>
              </w:rPr>
              <w:t>Un avantage concurrentiel</w:t>
            </w:r>
          </w:p>
        </w:tc>
        <w:tc>
          <w:tcPr>
            <w:tcW w:w="6672" w:type="dxa"/>
            <w:shd w:val="clear" w:color="auto" w:fill="auto"/>
            <w:vAlign w:val="center"/>
          </w:tcPr>
          <w:p>
            <w:pPr>
              <w:numPr>
                <w:ilvl w:val="0"/>
                <w:numId w:val="6"/>
              </w:numPr>
              <w:spacing w:before="2"/>
              <w:rPr>
                <w:rFonts w:ascii="Marianne" w:hAnsi="Marianne"/>
                <w:noProof/>
                <w:sz w:val="21"/>
                <w:szCs w:val="21"/>
                <w:lang w:val="fr-FR"/>
              </w:rPr>
            </w:pPr>
            <w:r>
              <w:rPr>
                <w:rFonts w:ascii="Marianne" w:hAnsi="Marianne"/>
                <w:noProof/>
                <w:sz w:val="21"/>
                <w:szCs w:val="21"/>
                <w:lang w:val="fr-FR"/>
              </w:rPr>
              <w:t>Accroissement incrémental du chiffre d’affaires</w:t>
            </w:r>
          </w:p>
        </w:tc>
      </w:tr>
    </w:tbl>
    <w:p>
      <w:pPr>
        <w:rPr>
          <w:b/>
          <w:noProof/>
          <w:sz w:val="20"/>
          <w:szCs w:val="20"/>
          <w:lang w:val="fr-FR"/>
        </w:rPr>
      </w:pPr>
    </w:p>
    <w:p>
      <w:pPr>
        <w:rPr>
          <w:b/>
          <w:noProof/>
          <w:sz w:val="20"/>
          <w:szCs w:val="20"/>
          <w:lang w:val="fr-FR"/>
        </w:rPr>
      </w:pPr>
    </w:p>
    <w:p>
      <w:pPr>
        <w:shd w:val="clear" w:color="auto" w:fill="B6B6FF" w:themeFill="background2" w:themeFillTint="33"/>
        <w:spacing w:after="120"/>
        <w:jc w:val="both"/>
        <w:rPr>
          <w:rFonts w:ascii="Marianne" w:hAnsi="Marianne"/>
          <w:b/>
          <w:bCs/>
          <w:noProof/>
          <w:lang w:val="fr-FR"/>
        </w:rPr>
      </w:pPr>
      <w:r>
        <w:rPr>
          <w:rFonts w:ascii="Marianne" w:hAnsi="Marianne"/>
          <w:b/>
          <w:bCs/>
          <w:noProof/>
          <w:lang w:val="fr-FR"/>
        </w:rPr>
        <w:t>Pourquoi mettre en place l’acceptation du paiement par carte d’achat ?</w:t>
      </w:r>
    </w:p>
    <w:p>
      <w:pPr>
        <w:spacing w:before="120" w:after="120" w:line="276" w:lineRule="auto"/>
        <w:jc w:val="both"/>
        <w:rPr>
          <w:rFonts w:ascii="Marianne" w:hAnsi="Marianne"/>
          <w:noProof/>
          <w:sz w:val="21"/>
          <w:szCs w:val="21"/>
          <w:lang w:val="fr-FR"/>
        </w:rPr>
      </w:pPr>
      <w:r>
        <w:rPr>
          <w:rFonts w:ascii="Marianne" w:hAnsi="Marianne"/>
          <w:noProof/>
          <w:sz w:val="21"/>
          <w:szCs w:val="21"/>
          <w:lang w:val="fr-FR"/>
        </w:rPr>
        <w:t>La mise en œuvre du paiement en carte d’achat s’inscrit, le plus souvent, dans un changement dans les modalités de gestion de la commande et de la prise en charge du règlement.</w:t>
      </w:r>
    </w:p>
    <w:p>
      <w:pPr>
        <w:spacing w:before="120" w:after="120" w:line="276" w:lineRule="auto"/>
        <w:jc w:val="both"/>
        <w:rPr>
          <w:rFonts w:ascii="Marianne" w:hAnsi="Marianne"/>
          <w:noProof/>
          <w:sz w:val="21"/>
          <w:szCs w:val="21"/>
          <w:lang w:val="fr-FR"/>
        </w:rPr>
      </w:pPr>
      <w:r>
        <w:rPr>
          <w:rFonts w:ascii="Marianne" w:hAnsi="Marianne"/>
          <w:noProof/>
          <w:sz w:val="21"/>
          <w:szCs w:val="21"/>
          <w:lang w:val="fr-FR"/>
        </w:rPr>
        <w:t>Avant de se lancer dans le chantier, il convient de définir des objectifs à atteindre.</w:t>
      </w:r>
    </w:p>
    <w:p>
      <w:pPr>
        <w:spacing w:before="120" w:after="120" w:line="276" w:lineRule="auto"/>
        <w:jc w:val="both"/>
        <w:rPr>
          <w:rFonts w:ascii="Marianne" w:hAnsi="Marianne"/>
          <w:noProof/>
          <w:sz w:val="21"/>
          <w:szCs w:val="21"/>
          <w:lang w:val="fr-FR"/>
        </w:rPr>
      </w:pPr>
      <w:r>
        <w:rPr>
          <w:rFonts w:ascii="Marianne" w:hAnsi="Marianne"/>
          <w:noProof/>
          <w:sz w:val="21"/>
          <w:szCs w:val="21"/>
          <w:lang w:val="fr-FR"/>
        </w:rPr>
        <w:t>La solution à mettre œuvre et l’impact de celle-ci sur les processus sont fonction des objectifs recherchés, qu’il importe de définir précisément avec les acteurs de la carte d’achat : client, banque, PSP :</w:t>
      </w:r>
    </w:p>
    <w:p>
      <w:pPr>
        <w:spacing w:line="276" w:lineRule="auto"/>
        <w:ind w:left="720"/>
        <w:jc w:val="both"/>
        <w:rPr>
          <w:rFonts w:ascii="Marianne" w:hAnsi="Marianne"/>
          <w:noProof/>
          <w:sz w:val="21"/>
          <w:szCs w:val="21"/>
          <w:lang w:val="fr-FR"/>
        </w:rPr>
      </w:pPr>
      <w:r>
        <w:rPr>
          <w:rFonts w:ascii="Marianne" w:hAnsi="Marianne"/>
          <w:b/>
          <w:noProof/>
          <w:sz w:val="21"/>
          <w:szCs w:val="21"/>
          <w:lang w:val="fr-FR"/>
        </w:rPr>
        <w:t>•</w:t>
      </w:r>
      <w:r>
        <w:rPr>
          <w:rFonts w:ascii="Marianne" w:hAnsi="Marianne"/>
          <w:b/>
          <w:noProof/>
          <w:sz w:val="21"/>
          <w:szCs w:val="21"/>
          <w:lang w:val="fr-FR"/>
        </w:rPr>
        <w:tab/>
      </w:r>
      <w:r>
        <w:rPr>
          <w:rFonts w:ascii="Marianne" w:hAnsi="Marianne"/>
          <w:noProof/>
          <w:sz w:val="21"/>
          <w:szCs w:val="21"/>
          <w:lang w:val="fr-FR"/>
        </w:rPr>
        <w:t>mettre en place ou développer un site sécurisé de commande en ligne ?</w:t>
      </w:r>
    </w:p>
    <w:p>
      <w:pPr>
        <w:spacing w:line="276" w:lineRule="auto"/>
        <w:ind w:left="720"/>
        <w:jc w:val="both"/>
        <w:rPr>
          <w:rFonts w:ascii="Marianne" w:hAnsi="Marianne"/>
          <w:noProof/>
          <w:sz w:val="21"/>
          <w:szCs w:val="21"/>
          <w:lang w:val="fr-FR"/>
        </w:rPr>
      </w:pPr>
      <w:r>
        <w:rPr>
          <w:rFonts w:ascii="Marianne" w:hAnsi="Marianne"/>
          <w:noProof/>
          <w:sz w:val="21"/>
          <w:szCs w:val="21"/>
          <w:lang w:val="fr-FR"/>
        </w:rPr>
        <w:t>•</w:t>
      </w:r>
      <w:r>
        <w:rPr>
          <w:rFonts w:ascii="Marianne" w:hAnsi="Marianne"/>
          <w:noProof/>
          <w:sz w:val="21"/>
          <w:szCs w:val="21"/>
          <w:lang w:val="fr-FR"/>
        </w:rPr>
        <w:tab/>
        <w:t>dématérialiser le processus de prise de commande ?</w:t>
      </w:r>
    </w:p>
    <w:p>
      <w:pPr>
        <w:spacing w:line="276" w:lineRule="auto"/>
        <w:ind w:left="720"/>
        <w:jc w:val="both"/>
        <w:rPr>
          <w:rFonts w:ascii="Marianne" w:hAnsi="Marianne"/>
          <w:noProof/>
          <w:sz w:val="21"/>
          <w:szCs w:val="21"/>
          <w:lang w:val="fr-FR"/>
        </w:rPr>
      </w:pPr>
      <w:r>
        <w:rPr>
          <w:rFonts w:ascii="Marianne" w:hAnsi="Marianne"/>
          <w:noProof/>
          <w:sz w:val="21"/>
          <w:szCs w:val="21"/>
          <w:lang w:val="fr-FR"/>
        </w:rPr>
        <w:t>•</w:t>
      </w:r>
      <w:r>
        <w:rPr>
          <w:rFonts w:ascii="Marianne" w:hAnsi="Marianne"/>
          <w:noProof/>
          <w:sz w:val="21"/>
          <w:szCs w:val="21"/>
          <w:lang w:val="fr-FR"/>
        </w:rPr>
        <w:tab/>
        <w:t>intégrer la politique d'achat du client ?</w:t>
      </w:r>
    </w:p>
    <w:p>
      <w:pPr>
        <w:spacing w:line="276" w:lineRule="auto"/>
        <w:ind w:left="720"/>
        <w:jc w:val="both"/>
        <w:rPr>
          <w:rFonts w:ascii="Marianne" w:hAnsi="Marianne"/>
          <w:noProof/>
          <w:sz w:val="21"/>
          <w:szCs w:val="21"/>
          <w:lang w:val="fr-FR"/>
        </w:rPr>
      </w:pPr>
      <w:r>
        <w:rPr>
          <w:rFonts w:ascii="Marianne" w:hAnsi="Marianne"/>
          <w:noProof/>
          <w:sz w:val="21"/>
          <w:szCs w:val="21"/>
          <w:lang w:val="fr-FR"/>
        </w:rPr>
        <w:t>•</w:t>
      </w:r>
      <w:r>
        <w:rPr>
          <w:rFonts w:ascii="Marianne" w:hAnsi="Marianne"/>
          <w:noProof/>
          <w:sz w:val="21"/>
          <w:szCs w:val="21"/>
          <w:lang w:val="fr-FR"/>
        </w:rPr>
        <w:tab/>
        <w:t>offrir un moyen de paiement complémentaire ?</w:t>
      </w:r>
    </w:p>
    <w:p>
      <w:pPr>
        <w:spacing w:line="276" w:lineRule="auto"/>
        <w:ind w:left="720"/>
        <w:jc w:val="both"/>
        <w:rPr>
          <w:rFonts w:ascii="Marianne" w:hAnsi="Marianne"/>
          <w:noProof/>
          <w:sz w:val="21"/>
          <w:szCs w:val="21"/>
          <w:lang w:val="fr-FR"/>
        </w:rPr>
      </w:pPr>
      <w:r>
        <w:rPr>
          <w:rFonts w:ascii="Marianne" w:hAnsi="Marianne"/>
          <w:noProof/>
          <w:sz w:val="21"/>
          <w:szCs w:val="21"/>
          <w:lang w:val="fr-FR"/>
        </w:rPr>
        <w:t>•</w:t>
      </w:r>
      <w:r>
        <w:rPr>
          <w:rFonts w:ascii="Marianne" w:hAnsi="Marianne"/>
          <w:noProof/>
          <w:sz w:val="21"/>
          <w:szCs w:val="21"/>
          <w:lang w:val="fr-FR"/>
        </w:rPr>
        <w:tab/>
        <w:t>diminuer les coûts de traitement des commandes ?</w:t>
      </w:r>
    </w:p>
    <w:p>
      <w:pPr>
        <w:spacing w:line="276" w:lineRule="auto"/>
        <w:ind w:left="720"/>
        <w:jc w:val="both"/>
        <w:rPr>
          <w:rFonts w:ascii="Marianne" w:hAnsi="Marianne"/>
          <w:noProof/>
          <w:sz w:val="21"/>
          <w:szCs w:val="21"/>
          <w:lang w:val="fr-FR"/>
        </w:rPr>
      </w:pPr>
      <w:r>
        <w:rPr>
          <w:rFonts w:ascii="Marianne" w:hAnsi="Marianne"/>
          <w:noProof/>
          <w:sz w:val="21"/>
          <w:szCs w:val="21"/>
          <w:lang w:val="fr-FR"/>
        </w:rPr>
        <w:t>•</w:t>
      </w:r>
      <w:r>
        <w:rPr>
          <w:rFonts w:ascii="Marianne" w:hAnsi="Marianne"/>
          <w:noProof/>
          <w:sz w:val="21"/>
          <w:szCs w:val="21"/>
          <w:lang w:val="fr-FR"/>
        </w:rPr>
        <w:tab/>
        <w:t>améliorer sa trésorerie par l’accélération des délais de paiement ?</w:t>
      </w:r>
    </w:p>
    <w:p>
      <w:pPr>
        <w:jc w:val="both"/>
        <w:rPr>
          <w:rFonts w:ascii="Marianne" w:hAnsi="Marianne"/>
          <w:noProof/>
          <w:sz w:val="20"/>
          <w:szCs w:val="20"/>
          <w:lang w:val="fr-FR"/>
        </w:rPr>
      </w:pPr>
    </w:p>
    <w:p>
      <w:pPr>
        <w:shd w:val="clear" w:color="auto" w:fill="B6B6FF" w:themeFill="background2" w:themeFillTint="33"/>
        <w:spacing w:after="120"/>
        <w:jc w:val="both"/>
        <w:rPr>
          <w:rFonts w:ascii="Marianne" w:hAnsi="Marianne"/>
          <w:b/>
          <w:bCs/>
          <w:noProof/>
          <w:lang w:val="fr-FR"/>
        </w:rPr>
      </w:pPr>
      <w:r>
        <w:rPr>
          <w:rFonts w:ascii="Marianne" w:hAnsi="Marianne"/>
          <w:b/>
          <w:bCs/>
          <w:noProof/>
          <w:lang w:val="fr-FR"/>
        </w:rPr>
        <w:t>Comment mettre en place l’acceptation du paiement par carte d’achat ?</w:t>
      </w:r>
    </w:p>
    <w:p>
      <w:pPr>
        <w:numPr>
          <w:ilvl w:val="0"/>
          <w:numId w:val="6"/>
        </w:numPr>
        <w:spacing w:line="276" w:lineRule="auto"/>
        <w:jc w:val="both"/>
        <w:rPr>
          <w:rFonts w:ascii="Marianne" w:hAnsi="Marianne"/>
          <w:noProof/>
          <w:sz w:val="21"/>
          <w:szCs w:val="21"/>
          <w:u w:val="single"/>
          <w:lang w:val="fr-FR"/>
        </w:rPr>
      </w:pPr>
      <w:r>
        <w:rPr>
          <w:rFonts w:ascii="Marianne" w:hAnsi="Marianne"/>
          <w:noProof/>
          <w:sz w:val="21"/>
          <w:szCs w:val="21"/>
          <w:u w:val="single"/>
          <w:lang w:val="fr-FR"/>
        </w:rPr>
        <w:t>Choisir son établissement financier et conclure un contrat monétique permettant les transactions de niveau 3</w:t>
      </w:r>
    </w:p>
    <w:p>
      <w:pPr>
        <w:spacing w:before="120" w:after="120" w:line="276" w:lineRule="auto"/>
        <w:ind w:left="720"/>
        <w:jc w:val="both"/>
        <w:rPr>
          <w:rFonts w:ascii="Marianne" w:hAnsi="Marianne"/>
          <w:noProof/>
          <w:sz w:val="21"/>
          <w:szCs w:val="21"/>
          <w:lang w:val="fr-FR"/>
        </w:rPr>
      </w:pPr>
      <w:r>
        <w:rPr>
          <w:rFonts w:ascii="Marianne" w:hAnsi="Marianne"/>
          <w:noProof/>
          <w:sz w:val="21"/>
          <w:szCs w:val="21"/>
          <w:lang w:val="fr-FR"/>
        </w:rPr>
        <w:t>Les grandes entreprises financières disposent d’une offre monétique dont les conditions économiques ou les services proposés peuvent différer (abonnement, taux de commission prélevé sur chaque transaction…). Il appartient au titulaire de consulter les offres pour déterminer celle correspondant le mieux à son besoin et offrant une structure de coûts optimale.</w:t>
      </w:r>
    </w:p>
    <w:p>
      <w:pPr>
        <w:spacing w:before="120" w:after="120" w:line="276" w:lineRule="auto"/>
        <w:ind w:left="720"/>
        <w:jc w:val="both"/>
        <w:rPr>
          <w:rFonts w:ascii="Marianne" w:hAnsi="Marianne"/>
          <w:b/>
          <w:bCs/>
          <w:noProof/>
          <w:sz w:val="21"/>
          <w:szCs w:val="21"/>
          <w:lang w:val="fr-FR"/>
        </w:rPr>
      </w:pPr>
      <w:r>
        <w:rPr>
          <w:rFonts w:ascii="Marianne" w:hAnsi="Marianne"/>
          <w:b/>
          <w:bCs/>
          <w:noProof/>
          <w:sz w:val="21"/>
          <w:szCs w:val="21"/>
          <w:lang w:val="fr-FR"/>
        </w:rPr>
        <w:t xml:space="preserve">Le titulaire du marché public n’a aucune obligation de recourir à l’établissement financier émetteur des cartes d’achat de l’Etat, le principe prévalant étant celui de la liberté du choix de l’établissement financier. </w:t>
      </w:r>
    </w:p>
    <w:p>
      <w:pPr>
        <w:spacing w:before="120" w:after="120" w:line="276" w:lineRule="auto"/>
        <w:ind w:left="720"/>
        <w:jc w:val="both"/>
        <w:rPr>
          <w:rFonts w:ascii="Marianne" w:hAnsi="Marianne"/>
          <w:noProof/>
          <w:sz w:val="21"/>
          <w:szCs w:val="21"/>
          <w:lang w:val="fr-FR"/>
        </w:rPr>
      </w:pPr>
      <w:r>
        <w:rPr>
          <w:rFonts w:ascii="Marianne" w:hAnsi="Marianne"/>
          <w:noProof/>
          <w:sz w:val="21"/>
          <w:szCs w:val="21"/>
          <w:lang w:val="fr-FR"/>
        </w:rPr>
        <w:t xml:space="preserve">Le titulaire est libre de s’adresser à l’établissement financier de son choix. Néanmoins, il doit s’agir d’un établissement appartenant au réseau privé permettant de transmettre des informations détaillées à la banque dites transactions de niveau 3. </w:t>
      </w:r>
    </w:p>
    <w:p>
      <w:pPr>
        <w:spacing w:before="120" w:after="120" w:line="276" w:lineRule="auto"/>
        <w:ind w:left="720"/>
        <w:jc w:val="both"/>
        <w:rPr>
          <w:rFonts w:ascii="Marianne" w:hAnsi="Marianne"/>
          <w:noProof/>
          <w:sz w:val="21"/>
          <w:szCs w:val="21"/>
          <w:lang w:val="fr-FR"/>
        </w:rPr>
      </w:pPr>
      <w:r>
        <w:rPr>
          <w:rFonts w:ascii="Marianne" w:hAnsi="Marianne"/>
          <w:noProof/>
          <w:sz w:val="21"/>
          <w:szCs w:val="21"/>
          <w:lang w:val="fr-FR"/>
        </w:rPr>
        <w:lastRenderedPageBreak/>
        <w:t>Le titulaire de l’accord cadre d’émission des cartes d’achat de l’Etat a un devoir d’assistance auprès des fournisseurs qui mettent en œuvre un marché exécuté par ce moyen de commande et de paiement. Il est possible de faire appel à ses services, à titre gratuit et dans le cadre d’un conseil, sur le sujet.</w:t>
      </w:r>
    </w:p>
    <w:p>
      <w:pPr>
        <w:numPr>
          <w:ilvl w:val="0"/>
          <w:numId w:val="6"/>
        </w:numPr>
        <w:spacing w:line="276" w:lineRule="auto"/>
        <w:jc w:val="both"/>
        <w:rPr>
          <w:rFonts w:ascii="Marianne" w:hAnsi="Marianne"/>
          <w:noProof/>
          <w:sz w:val="21"/>
          <w:szCs w:val="21"/>
          <w:u w:val="single"/>
          <w:lang w:val="fr-FR"/>
        </w:rPr>
      </w:pPr>
      <w:r>
        <w:rPr>
          <w:rFonts w:ascii="Marianne" w:hAnsi="Marianne"/>
          <w:noProof/>
          <w:sz w:val="21"/>
          <w:szCs w:val="21"/>
          <w:u w:val="single"/>
          <w:lang w:val="fr-FR"/>
        </w:rPr>
        <w:t>Choisir la solution technique permettant l’acceptation du paiement en carte d’achat</w:t>
      </w:r>
    </w:p>
    <w:p>
      <w:pPr>
        <w:spacing w:before="120" w:after="120" w:line="276" w:lineRule="auto"/>
        <w:ind w:left="720"/>
        <w:jc w:val="both"/>
        <w:rPr>
          <w:rFonts w:ascii="Marianne" w:hAnsi="Marianne"/>
          <w:noProof/>
          <w:sz w:val="21"/>
          <w:szCs w:val="21"/>
          <w:lang w:val="fr-FR"/>
        </w:rPr>
      </w:pPr>
      <w:r>
        <w:rPr>
          <w:rFonts w:ascii="Marianne" w:hAnsi="Marianne"/>
          <w:noProof/>
          <w:sz w:val="21"/>
          <w:szCs w:val="21"/>
          <w:lang w:val="fr-FR"/>
        </w:rPr>
        <w:t>Le choix de l’offre technique doit se faire en partenariat avec l’établissement financier que vous aurez choisi en fonction des objectifs et de la volumétrie de transaction envisagée</w:t>
      </w:r>
    </w:p>
    <w:p>
      <w:pPr>
        <w:spacing w:before="120" w:after="120" w:line="276" w:lineRule="auto"/>
        <w:ind w:left="720"/>
        <w:jc w:val="both"/>
        <w:rPr>
          <w:rFonts w:ascii="Marianne" w:hAnsi="Marianne"/>
          <w:noProof/>
          <w:sz w:val="21"/>
          <w:szCs w:val="21"/>
          <w:lang w:val="fr-FR"/>
        </w:rPr>
      </w:pPr>
      <w:r>
        <w:rPr>
          <w:rFonts w:ascii="Marianne" w:hAnsi="Marianne"/>
          <w:noProof/>
          <w:sz w:val="21"/>
          <w:szCs w:val="21"/>
          <w:lang w:val="fr-FR"/>
        </w:rPr>
        <w:t>Les délais de mise en place de la solution dépendent du degré d’intégration de la solution dans le système d’information du titulaire du marché (en moyenne de 48h à 3 mois).</w:t>
      </w:r>
    </w:p>
    <w:p>
      <w:pPr>
        <w:spacing w:before="120" w:after="120" w:line="276" w:lineRule="auto"/>
        <w:ind w:left="720"/>
        <w:jc w:val="both"/>
        <w:rPr>
          <w:rFonts w:ascii="Marianne" w:hAnsi="Marianne"/>
          <w:noProof/>
          <w:sz w:val="21"/>
          <w:szCs w:val="21"/>
          <w:lang w:val="fr-FR"/>
        </w:rPr>
      </w:pPr>
      <w:r>
        <w:rPr>
          <w:rFonts w:ascii="Marianne" w:hAnsi="Marianne"/>
          <w:noProof/>
          <w:sz w:val="21"/>
          <w:szCs w:val="21"/>
          <w:lang w:val="fr-FR"/>
        </w:rPr>
        <w:t xml:space="preserve">Les données relatives aux cartes d’achat ne doivent pas être conservées au-delà de la transaction. La solution technique choisie ne doit pas imposer l’enregistrement des données des cartes d’achat (le numéro de la carte ; date d'expiration ; cryptogramme visuel) dans le système informatique du titulaire. </w:t>
      </w:r>
    </w:p>
    <w:p>
      <w:pPr>
        <w:spacing w:before="120" w:after="120" w:line="276" w:lineRule="auto"/>
        <w:ind w:left="720"/>
        <w:jc w:val="both"/>
        <w:rPr>
          <w:rFonts w:ascii="Marianne" w:hAnsi="Marianne"/>
          <w:noProof/>
          <w:sz w:val="21"/>
          <w:szCs w:val="21"/>
          <w:lang w:val="fr-FR"/>
        </w:rPr>
      </w:pPr>
      <w:r>
        <w:rPr>
          <w:rFonts w:ascii="Marianne" w:hAnsi="Marianne"/>
          <w:noProof/>
          <w:sz w:val="21"/>
          <w:szCs w:val="21"/>
          <w:lang w:val="fr-FR"/>
        </w:rPr>
        <w:t>La télécollecte partielle n’est possible que si la solution technique retenue permet d’utiliser plusieurs fois la même demande d’autorisation dans la limite de son montant global pour plusieurs télécollectes. Si la solution retenue ne le permet pas, la télécollecte n’est autorisée que lorsque tous les éléments de la commande sont livrés.</w:t>
      </w:r>
    </w:p>
    <w:p>
      <w:pPr>
        <w:numPr>
          <w:ilvl w:val="0"/>
          <w:numId w:val="6"/>
        </w:numPr>
        <w:spacing w:line="276" w:lineRule="auto"/>
        <w:jc w:val="both"/>
        <w:rPr>
          <w:rFonts w:ascii="Marianne" w:hAnsi="Marianne"/>
          <w:noProof/>
          <w:sz w:val="21"/>
          <w:szCs w:val="21"/>
          <w:u w:val="single"/>
          <w:lang w:val="fr-FR"/>
        </w:rPr>
      </w:pPr>
      <w:r>
        <w:rPr>
          <w:rFonts w:ascii="Marianne" w:hAnsi="Marianne"/>
          <w:noProof/>
          <w:sz w:val="21"/>
          <w:szCs w:val="21"/>
          <w:u w:val="single"/>
          <w:lang w:val="fr-FR"/>
        </w:rPr>
        <w:t>Coût de de l’acceptation du paiement par carte d’achat</w:t>
      </w:r>
    </w:p>
    <w:p>
      <w:pPr>
        <w:spacing w:before="120" w:after="120" w:line="276" w:lineRule="auto"/>
        <w:ind w:left="720"/>
        <w:jc w:val="both"/>
        <w:rPr>
          <w:rFonts w:ascii="Marianne" w:hAnsi="Marianne"/>
          <w:noProof/>
          <w:sz w:val="21"/>
          <w:szCs w:val="21"/>
          <w:lang w:val="fr-FR"/>
        </w:rPr>
      </w:pPr>
      <w:r>
        <w:rPr>
          <w:rFonts w:ascii="Marianne" w:hAnsi="Marianne"/>
          <w:noProof/>
          <w:sz w:val="21"/>
          <w:szCs w:val="21"/>
          <w:lang w:val="fr-FR"/>
        </w:rPr>
        <w:t>En moyenne, et selon l’établissement financier et la solution technique d’acceptation choisie, le coût de l’acceptation du paiement par carte d’achat représente, au minimum, 2% du montant TTC de chaque transaction.</w:t>
      </w:r>
    </w:p>
    <w:p>
      <w:pPr>
        <w:spacing w:before="120" w:after="120" w:line="276" w:lineRule="auto"/>
        <w:ind w:left="720"/>
        <w:jc w:val="both"/>
        <w:rPr>
          <w:rFonts w:ascii="Marianne" w:hAnsi="Marianne"/>
          <w:noProof/>
          <w:sz w:val="21"/>
          <w:szCs w:val="21"/>
          <w:lang w:val="fr-FR"/>
        </w:rPr>
      </w:pPr>
      <w:r>
        <w:rPr>
          <w:rFonts w:ascii="Marianne" w:hAnsi="Marianne"/>
          <w:noProof/>
          <w:sz w:val="21"/>
          <w:szCs w:val="21"/>
          <w:lang w:val="fr-FR"/>
        </w:rPr>
        <w:t>Ce coût indicatif ne couvre pas ceux relatifs aux développements informatiques éventuellement nécessaires ou encore la mise à disposition d’un site de commande en ligne.</w:t>
      </w:r>
    </w:p>
    <w:p>
      <w:pPr>
        <w:spacing w:before="120" w:after="120" w:line="276" w:lineRule="auto"/>
        <w:ind w:left="720"/>
        <w:jc w:val="both"/>
        <w:rPr>
          <w:rFonts w:ascii="Marianne" w:hAnsi="Marianne"/>
          <w:noProof/>
          <w:sz w:val="21"/>
          <w:szCs w:val="21"/>
          <w:lang w:val="fr-FR"/>
        </w:rPr>
      </w:pPr>
      <w:r>
        <w:rPr>
          <w:rFonts w:ascii="Marianne" w:hAnsi="Marianne"/>
          <w:noProof/>
          <w:sz w:val="21"/>
          <w:szCs w:val="21"/>
          <w:lang w:val="fr-FR"/>
        </w:rPr>
        <w:t>La mise en œuvre de la commande et du paiement par carte d’achat est recommandée lorsque le fournisseur est amené à recevoir en moyenne plus de 120 bons de commande par an sur catalogue.</w:t>
      </w:r>
    </w:p>
    <w:p>
      <w:pPr>
        <w:pStyle w:val="Intituldirection"/>
        <w:rPr>
          <w:rFonts w:ascii="Marianne" w:hAnsi="Marianne"/>
          <w:lang w:val="fr-FR"/>
        </w:rPr>
      </w:pPr>
    </w:p>
    <w:p>
      <w:pPr>
        <w:pStyle w:val="Corpsdetexte"/>
        <w:rPr>
          <w:rFonts w:ascii="Marianne" w:hAnsi="Marianne"/>
        </w:rPr>
      </w:pPr>
    </w:p>
    <w:sectPr>
      <w:headerReference w:type="default" r:id="rId14"/>
      <w:footerReference w:type="default" r:id="rId15"/>
      <w:type w:val="continuous"/>
      <w:pgSz w:w="11910" w:h="16840"/>
      <w:pgMar w:top="964" w:right="964" w:bottom="964" w:left="96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271326215"/>
      <w:docPartObj>
        <w:docPartGallery w:val="Page Numbers (Bottom of Page)"/>
        <w:docPartUnique/>
      </w:docPartObj>
    </w:sdtPr>
    <w:sdtContent>
      <w:p>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spacing w:before="482"/>
      <w:rPr>
        <w:rStyle w:val="Numrodepage"/>
        <w:rFonts w:ascii="Marianne" w:hAnsi="Marianne"/>
        <w:sz w:val="14"/>
        <w:szCs w:val="14"/>
        <w:lang w:val="fr-FR"/>
      </w:rPr>
    </w:pPr>
    <w:r>
      <w:rPr>
        <w:rFonts w:ascii="Marianne" w:hAnsi="Marianne"/>
        <w:position w:val="1"/>
        <w:sz w:val="14"/>
        <w:szCs w:val="14"/>
        <w:lang w:val="fr-FR"/>
      </w:rPr>
      <w:t xml:space="preserve">59, boulevard Vincent Auriol, </w:t>
    </w:r>
    <w:proofErr w:type="spellStart"/>
    <w:r>
      <w:rPr>
        <w:rFonts w:ascii="Marianne" w:hAnsi="Marianne"/>
        <w:position w:val="1"/>
        <w:sz w:val="14"/>
        <w:szCs w:val="14"/>
        <w:lang w:val="fr-FR"/>
      </w:rPr>
      <w:t>Télédoc</w:t>
    </w:r>
    <w:proofErr w:type="spellEnd"/>
    <w:r>
      <w:rPr>
        <w:rFonts w:ascii="Marianne" w:hAnsi="Marianne"/>
        <w:position w:val="1"/>
        <w:sz w:val="14"/>
        <w:szCs w:val="14"/>
        <w:lang w:val="fr-FR"/>
      </w:rPr>
      <w:t xml:space="preserve"> 033</w:t>
    </w:r>
    <w:r>
      <w:rPr>
        <w:rFonts w:ascii="Marianne" w:hAnsi="Marianne"/>
        <w:position w:val="1"/>
        <w:sz w:val="14"/>
        <w:szCs w:val="14"/>
        <w:lang w:val="fr-FR"/>
      </w:rPr>
      <w:br/>
      <w:t>75703 PARIS cedex 13</w:t>
    </w:r>
    <w:r>
      <w:rPr>
        <w:rFonts w:ascii="Marianne" w:hAnsi="Marianne"/>
        <w:position w:val="1"/>
        <w:sz w:val="14"/>
        <w:szCs w:val="14"/>
        <w:lang w:val="fr-FR"/>
      </w:rPr>
      <w:br/>
    </w:r>
    <w:r>
      <w:rPr>
        <w:rFonts w:ascii="Marianne" w:hAnsi="Marianne"/>
        <w:sz w:val="14"/>
        <w:szCs w:val="14"/>
        <w:lang w:val="fr-FR"/>
      </w:rPr>
      <w:t xml:space="preserve">Tél : 01 44 97 00 00 </w:t>
    </w:r>
    <w:r>
      <w:rPr>
        <w:rStyle w:val="Numrodepage"/>
        <w:rFonts w:ascii="Marianne" w:hAnsi="Marianne"/>
        <w:sz w:val="14"/>
        <w:szCs w:val="14"/>
        <w:lang w:val="fr-FR"/>
      </w:rPr>
      <w:t xml:space="preserve"> </w:t>
    </w:r>
  </w:p>
  <w:p>
    <w:pPr>
      <w:pStyle w:val="Pieddepage"/>
      <w:rPr>
        <w:rFonts w:ascii="Marianne" w:hAnsi="Marianne"/>
        <w:sz w:val="14"/>
        <w:szCs w:val="14"/>
        <w:lang w:val="fr-FR"/>
      </w:rPr>
    </w:pPr>
    <w:r>
      <w:rPr>
        <w:rFonts w:ascii="Marianne" w:hAnsi="Marianne"/>
        <w:sz w:val="14"/>
        <w:szCs w:val="14"/>
        <w:lang w:val="fr-FR"/>
      </w:rPr>
      <w:t xml:space="preserve">Mèl : prénom.nom@finances.gouv.fr </w:t>
    </w:r>
    <w:r>
      <w:rPr>
        <w:rFonts w:ascii="Marianne" w:hAnsi="Marianne"/>
        <w:sz w:val="14"/>
        <w:szCs w:val="14"/>
      </w:rPr>
      <w:ptab w:relativeTo="margin" w:alignment="center" w:leader="none"/>
    </w:r>
    <w:r>
      <w:rPr>
        <w:rFonts w:ascii="Marianne" w:hAnsi="Marianne"/>
        <w:sz w:val="14"/>
        <w:szCs w:val="14"/>
      </w:rPr>
      <w:fldChar w:fldCharType="begin"/>
    </w:r>
    <w:r>
      <w:rPr>
        <w:rFonts w:ascii="Marianne" w:hAnsi="Marianne"/>
        <w:sz w:val="14"/>
        <w:szCs w:val="14"/>
        <w:lang w:val="fr-FR"/>
      </w:rPr>
      <w:instrText>PAGE   \* MERGEFORMAT</w:instrText>
    </w:r>
    <w:r>
      <w:rPr>
        <w:rFonts w:ascii="Marianne" w:hAnsi="Marianne"/>
        <w:sz w:val="14"/>
        <w:szCs w:val="14"/>
      </w:rPr>
      <w:fldChar w:fldCharType="separate"/>
    </w:r>
    <w:r>
      <w:rPr>
        <w:rFonts w:ascii="Marianne" w:hAnsi="Marianne"/>
        <w:noProof/>
        <w:sz w:val="14"/>
        <w:szCs w:val="14"/>
        <w:lang w:val="fr-FR"/>
      </w:rPr>
      <w:t>1</w:t>
    </w:r>
    <w:r>
      <w:rPr>
        <w:rFonts w:ascii="Marianne" w:hAnsi="Marianne"/>
        <w:sz w:val="14"/>
        <w:szCs w:val="14"/>
      </w:rPr>
      <w:fldChar w:fldCharType="end"/>
    </w:r>
    <w:r>
      <w:rPr>
        <w:rFonts w:ascii="Marianne" w:hAnsi="Marianne"/>
        <w:sz w:val="14"/>
        <w:szCs w:val="14"/>
        <w:lang w:val="fr-FR"/>
      </w:rPr>
      <w:t>/</w:t>
    </w:r>
    <w:r>
      <w:rPr>
        <w:rFonts w:ascii="Marianne" w:hAnsi="Marianne"/>
        <w:bCs/>
        <w:sz w:val="14"/>
        <w:szCs w:val="14"/>
      </w:rPr>
      <w:fldChar w:fldCharType="begin"/>
    </w:r>
    <w:r>
      <w:rPr>
        <w:rFonts w:ascii="Marianne" w:hAnsi="Marianne"/>
        <w:bCs/>
        <w:sz w:val="14"/>
        <w:szCs w:val="14"/>
        <w:lang w:val="fr-FR"/>
      </w:rPr>
      <w:instrText>NUMPAGES</w:instrText>
    </w:r>
    <w:r>
      <w:rPr>
        <w:rFonts w:ascii="Marianne" w:hAnsi="Marianne"/>
        <w:bCs/>
        <w:sz w:val="14"/>
        <w:szCs w:val="14"/>
      </w:rPr>
      <w:fldChar w:fldCharType="separate"/>
    </w:r>
    <w:r>
      <w:rPr>
        <w:rFonts w:ascii="Marianne" w:hAnsi="Marianne"/>
        <w:bCs/>
        <w:noProof/>
        <w:sz w:val="14"/>
        <w:szCs w:val="14"/>
        <w:lang w:val="fr-FR"/>
      </w:rPr>
      <w:t>2</w:t>
    </w:r>
    <w:r>
      <w:rPr>
        <w:rFonts w:ascii="Marianne" w:hAnsi="Marianne"/>
        <w:bCs/>
        <w:sz w:val="14"/>
        <w:szCs w:val="14"/>
      </w:rPr>
      <w:fldChar w:fldCharType="end"/>
    </w:r>
    <w:r>
      <w:rPr>
        <w:rFonts w:ascii="Marianne" w:hAnsi="Marianne"/>
        <w:sz w:val="14"/>
        <w:szCs w:val="14"/>
        <w:lang w:val="fr-FR"/>
      </w:rPr>
      <w:t xml:space="preserve"> </w:t>
    </w:r>
    <w:r>
      <w:rPr>
        <w:rFonts w:ascii="Marianne" w:hAnsi="Marianne"/>
        <w:sz w:val="14"/>
        <w:szCs w:val="14"/>
      </w:rPr>
      <w:ptab w:relativeTo="margin" w:alignment="right" w:leader="none"/>
    </w:r>
    <w:r>
      <w:rPr>
        <w:rFonts w:ascii="Marianne" w:hAnsi="Marianne"/>
        <w:sz w:val="14"/>
        <w:szCs w:val="14"/>
        <w:lang w:val="fr-FR"/>
      </w:rPr>
      <w:t>17/08/2020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rPr>
        <w:rStyle w:val="Numrodepage"/>
        <w:rFonts w:ascii="Marianne" w:hAnsi="Marianne"/>
        <w:sz w:val="14"/>
        <w:szCs w:val="14"/>
        <w:lang w:val="fr-FR"/>
      </w:rPr>
    </w:pPr>
    <w:r>
      <w:rPr>
        <w:rFonts w:ascii="Marianne" w:hAnsi="Marianne"/>
        <w:position w:val="1"/>
        <w:sz w:val="14"/>
        <w:szCs w:val="14"/>
        <w:lang w:val="fr-FR"/>
      </w:rPr>
      <w:t>Bureau du conseil budgétaire et financier.</w:t>
    </w:r>
    <w:r>
      <w:rPr>
        <w:rFonts w:ascii="Marianne" w:hAnsi="Marianne"/>
        <w:sz w:val="14"/>
        <w:szCs w:val="14"/>
        <w:lang w:val="fr-FR"/>
      </w:rPr>
      <w:t xml:space="preserve"> </w:t>
    </w:r>
    <w:r>
      <w:rPr>
        <w:rStyle w:val="Numrodepage"/>
        <w:rFonts w:ascii="Marianne" w:hAnsi="Marianne"/>
        <w:sz w:val="14"/>
        <w:szCs w:val="14"/>
        <w:lang w:val="fr-FR"/>
      </w:rPr>
      <w:t xml:space="preserve"> </w:t>
    </w:r>
  </w:p>
  <w:p>
    <w:pPr>
      <w:pStyle w:val="Pieddepage"/>
      <w:rPr>
        <w:rFonts w:ascii="Marianne" w:hAnsi="Marianne"/>
        <w:sz w:val="14"/>
        <w:szCs w:val="14"/>
        <w:lang w:val="fr-FR"/>
      </w:rPr>
    </w:pPr>
    <w:r>
      <w:rPr>
        <w:rFonts w:ascii="Marianne" w:hAnsi="Marianne"/>
        <w:position w:val="1"/>
        <w:sz w:val="14"/>
        <w:szCs w:val="14"/>
        <w:lang w:val="fr-FR"/>
      </w:rPr>
      <w:t xml:space="preserve">59, boulevard Vincent Auriol, </w:t>
    </w:r>
    <w:proofErr w:type="spellStart"/>
    <w:r>
      <w:rPr>
        <w:rFonts w:ascii="Marianne" w:hAnsi="Marianne"/>
        <w:position w:val="1"/>
        <w:sz w:val="14"/>
        <w:szCs w:val="14"/>
        <w:lang w:val="fr-FR"/>
      </w:rPr>
      <w:t>Télédoc</w:t>
    </w:r>
    <w:proofErr w:type="spellEnd"/>
    <w:r>
      <w:rPr>
        <w:rFonts w:ascii="Marianne" w:hAnsi="Marianne"/>
        <w:position w:val="1"/>
        <w:sz w:val="14"/>
        <w:szCs w:val="14"/>
        <w:lang w:val="fr-FR"/>
      </w:rPr>
      <w:t xml:space="preserve"> 033</w:t>
    </w:r>
    <w:r>
      <w:rPr>
        <w:rFonts w:ascii="Marianne" w:hAnsi="Marianne"/>
        <w:position w:val="1"/>
        <w:sz w:val="14"/>
        <w:szCs w:val="14"/>
        <w:lang w:val="fr-FR"/>
      </w:rPr>
      <w:br/>
      <w:t>75703 PARIS cedex 13</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pPr>
    <w:r>
      <w:rPr>
        <w:noProof/>
        <w:lang w:eastAsia="fr-FR"/>
      </w:rPr>
      <w:drawing>
        <wp:anchor distT="0" distB="0" distL="114300" distR="114300" simplePos="0" relativeHeight="251659264" behindDoc="0" locked="0" layoutInCell="1" allowOverlap="1">
          <wp:simplePos x="0" y="0"/>
          <wp:positionH relativeFrom="column">
            <wp:posOffset>-80645</wp:posOffset>
          </wp:positionH>
          <wp:positionV relativeFrom="paragraph">
            <wp:posOffset>-19050</wp:posOffset>
          </wp:positionV>
          <wp:extent cx="2378710" cy="1456690"/>
          <wp:effectExtent l="0" t="0" r="254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8710" cy="1456690"/>
                  </a:xfrm>
                  <a:prstGeom prst="rect">
                    <a:avLst/>
                  </a:prstGeom>
                  <a:noFill/>
                </pic:spPr>
              </pic:pic>
            </a:graphicData>
          </a:graphic>
          <wp14:sizeRelH relativeFrom="page">
            <wp14:pctWidth>0</wp14:pctWidth>
          </wp14:sizeRelH>
          <wp14:sizeRelV relativeFrom="page">
            <wp14:pctHeight>0</wp14:pctHeight>
          </wp14:sizeRelV>
        </wp:anchor>
      </w:drawing>
    </w:r>
  </w:p>
  <w:p>
    <w:pPr>
      <w:pStyle w:val="Corpsdetexte"/>
    </w:pPr>
  </w:p>
  <w:p>
    <w:pPr>
      <w:pStyle w:val="Corpsdetexte"/>
    </w:pPr>
  </w:p>
  <w:p>
    <w:pPr>
      <w:tabs>
        <w:tab w:val="right" w:pos="9026"/>
      </w:tabs>
      <w:jc w:val="right"/>
      <w:rPr>
        <w:b/>
        <w:bCs/>
        <w:sz w:val="24"/>
        <w:szCs w:val="24"/>
      </w:rPr>
    </w:pPr>
    <w:r>
      <w:rPr>
        <w:b/>
        <w:bCs/>
        <w:sz w:val="24"/>
        <w:szCs w:val="24"/>
      </w:rPr>
      <w:tab/>
    </w:r>
  </w:p>
  <w:p>
    <w:pPr>
      <w:tabs>
        <w:tab w:val="right" w:pos="9026"/>
      </w:tabs>
      <w:jc w:val="right"/>
      <w:rPr>
        <w:b/>
        <w:bCs/>
        <w:sz w:val="24"/>
        <w:szCs w:val="24"/>
      </w:rPr>
    </w:pPr>
  </w:p>
  <w:p>
    <w:pPr>
      <w:tabs>
        <w:tab w:val="right" w:pos="9026"/>
      </w:tabs>
      <w:jc w:val="right"/>
      <w:rPr>
        <w:rFonts w:ascii="Marianne" w:hAnsi="Marianne"/>
        <w:b/>
        <w:bCs/>
        <w:sz w:val="24"/>
        <w:szCs w:val="24"/>
        <w:lang w:val="fr-FR"/>
      </w:rPr>
    </w:pPr>
    <w:r>
      <w:rPr>
        <w:rFonts w:ascii="Marianne" w:hAnsi="Marianne"/>
        <w:b/>
        <w:bCs/>
        <w:sz w:val="24"/>
        <w:szCs w:val="24"/>
        <w:lang w:val="fr-FR"/>
      </w:rPr>
      <w:t>Direction des achats</w:t>
    </w:r>
  </w:p>
  <w:p>
    <w:pPr>
      <w:tabs>
        <w:tab w:val="right" w:pos="9026"/>
      </w:tabs>
      <w:jc w:val="right"/>
      <w:rPr>
        <w:rFonts w:ascii="Marianne" w:hAnsi="Marianne"/>
        <w:b/>
        <w:bCs/>
        <w:sz w:val="24"/>
        <w:szCs w:val="24"/>
        <w:lang w:val="fr-FR"/>
      </w:rPr>
    </w:pPr>
    <w:r>
      <w:rPr>
        <w:rFonts w:ascii="Marianne" w:hAnsi="Marianne"/>
        <w:b/>
        <w:bCs/>
        <w:sz w:val="24"/>
        <w:szCs w:val="24"/>
        <w:lang w:val="fr-FR"/>
      </w:rPr>
      <w:t>de l'État</w:t>
    </w:r>
  </w:p>
  <w:p>
    <w:pPr>
      <w:tabs>
        <w:tab w:val="right" w:pos="9026"/>
      </w:tabs>
      <w:jc w:val="right"/>
      <w:rPr>
        <w:rFonts w:ascii="Marianne" w:hAnsi="Marianne"/>
        <w:b/>
        <w:bCs/>
        <w:sz w:val="24"/>
        <w:szCs w:val="24"/>
        <w:lang w:val="fr-FR"/>
      </w:rPr>
    </w:pPr>
  </w:p>
  <w:p>
    <w:pPr>
      <w:pStyle w:val="Corpsdetexte"/>
    </w:pPr>
  </w:p>
  <w:p>
    <w:pPr>
      <w:pStyle w:val="En-tte"/>
      <w:rPr>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pPr>
    <w:r>
      <w:rPr>
        <w:noProof/>
      </w:rPr>
      <w:drawing>
        <wp:anchor distT="0" distB="0" distL="114300" distR="114300" simplePos="0" relativeHeight="251660288" behindDoc="1" locked="0" layoutInCell="1" allowOverlap="1">
          <wp:simplePos x="0" y="0"/>
          <wp:positionH relativeFrom="margin">
            <wp:align>left</wp:align>
          </wp:positionH>
          <wp:positionV relativeFrom="paragraph">
            <wp:posOffset>121285</wp:posOffset>
          </wp:positionV>
          <wp:extent cx="1208405" cy="1092200"/>
          <wp:effectExtent l="0" t="0" r="0" b="0"/>
          <wp:wrapTight wrapText="bothSides">
            <wp:wrapPolygon edited="0">
              <wp:start x="0" y="0"/>
              <wp:lineTo x="0" y="21098"/>
              <wp:lineTo x="21112" y="21098"/>
              <wp:lineTo x="21112" y="0"/>
              <wp:lineTo x="0" y="0"/>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1">
                    <a:extLst>
                      <a:ext uri="{28A0092B-C50C-407E-A947-70E740481C1C}">
                        <a14:useLocalDpi xmlns:a14="http://schemas.microsoft.com/office/drawing/2010/main" val="0"/>
                      </a:ext>
                    </a:extLst>
                  </a:blip>
                  <a:stretch>
                    <a:fillRect/>
                  </a:stretch>
                </pic:blipFill>
                <pic:spPr>
                  <a:xfrm>
                    <a:off x="0" y="0"/>
                    <a:ext cx="1208405" cy="1092200"/>
                  </a:xfrm>
                  <a:prstGeom prst="rect">
                    <a:avLst/>
                  </a:prstGeom>
                </pic:spPr>
              </pic:pic>
            </a:graphicData>
          </a:graphic>
          <wp14:sizeRelH relativeFrom="margin">
            <wp14:pctWidth>0</wp14:pctWidth>
          </wp14:sizeRelH>
          <wp14:sizeRelV relativeFrom="margin">
            <wp14:pctHeight>0</wp14:pctHeight>
          </wp14:sizeRelV>
        </wp:anchor>
      </w:drawing>
    </w:r>
  </w:p>
  <w:p>
    <w:pPr>
      <w:pStyle w:val="Corpsdetexte"/>
    </w:pPr>
  </w:p>
  <w:p>
    <w:pPr>
      <w:pStyle w:val="Corpsdetexte"/>
    </w:pPr>
  </w:p>
  <w:p>
    <w:pPr>
      <w:tabs>
        <w:tab w:val="right" w:pos="9026"/>
      </w:tabs>
      <w:jc w:val="right"/>
      <w:rPr>
        <w:rFonts w:ascii="Marianne" w:hAnsi="Marianne"/>
        <w:b/>
        <w:bCs/>
        <w:sz w:val="24"/>
        <w:szCs w:val="24"/>
        <w:lang w:val="fr-FR"/>
      </w:rPr>
    </w:pPr>
    <w:r>
      <w:rPr>
        <w:b/>
        <w:bCs/>
        <w:sz w:val="24"/>
        <w:szCs w:val="24"/>
      </w:rPr>
      <w:tab/>
    </w:r>
    <w:r>
      <w:rPr>
        <w:rFonts w:ascii="Marianne" w:hAnsi="Marianne"/>
        <w:b/>
        <w:bCs/>
        <w:sz w:val="24"/>
        <w:szCs w:val="24"/>
        <w:lang w:val="fr-FR"/>
      </w:rPr>
      <w:t>Direction des achats</w:t>
    </w:r>
  </w:p>
  <w:p>
    <w:pPr>
      <w:tabs>
        <w:tab w:val="right" w:pos="9026"/>
      </w:tabs>
      <w:jc w:val="right"/>
      <w:rPr>
        <w:rFonts w:ascii="Marianne" w:hAnsi="Marianne"/>
        <w:b/>
        <w:bCs/>
        <w:sz w:val="24"/>
        <w:szCs w:val="24"/>
        <w:lang w:val="fr-FR"/>
      </w:rPr>
    </w:pPr>
    <w:r>
      <w:rPr>
        <w:rFonts w:ascii="Marianne" w:hAnsi="Marianne"/>
        <w:b/>
        <w:bCs/>
        <w:sz w:val="24"/>
        <w:szCs w:val="24"/>
        <w:lang w:val="fr-FR"/>
      </w:rPr>
      <w:t>de l'État</w:t>
    </w:r>
  </w:p>
  <w:p>
    <w:pPr>
      <w:pStyle w:val="En-tte"/>
      <w:rPr>
        <w:lang w:val="fr-F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En-tte"/>
      <w:tabs>
        <w:tab w:val="clear" w:pos="4513"/>
      </w:tabs>
      <w:jc w:val="right"/>
      <w:rPr>
        <w:b/>
        <w:bCs/>
        <w:sz w:val="24"/>
        <w:szCs w:val="24"/>
      </w:rPr>
    </w:pPr>
  </w:p>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AA5635"/>
    <w:multiLevelType w:val="hybridMultilevel"/>
    <w:tmpl w:val="B9E070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29578B9"/>
    <w:multiLevelType w:val="hybridMultilevel"/>
    <w:tmpl w:val="2CA872C6"/>
    <w:lvl w:ilvl="0" w:tplc="13C6DE30">
      <w:numFmt w:val="bullet"/>
      <w:lvlText w:val="&gt;"/>
      <w:lvlJc w:val="left"/>
      <w:pPr>
        <w:ind w:left="849" w:hanging="360"/>
      </w:pPr>
      <w:rPr>
        <w:rFonts w:ascii="Arial" w:eastAsiaTheme="minorHAnsi" w:hAnsi="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CA41A6D"/>
    <w:multiLevelType w:val="hybridMultilevel"/>
    <w:tmpl w:val="00483E52"/>
    <w:lvl w:ilvl="0" w:tplc="621A0A72">
      <w:numFmt w:val="bullet"/>
      <w:lvlText w:val="-"/>
      <w:lvlJc w:val="left"/>
      <w:pPr>
        <w:ind w:left="474" w:hanging="345"/>
      </w:pPr>
      <w:rPr>
        <w:rFonts w:ascii="Arial" w:eastAsia="Arial" w:hAnsi="Arial" w:cs="Arial" w:hint="default"/>
        <w:color w:val="231F20"/>
        <w:spacing w:val="-1"/>
        <w:w w:val="100"/>
        <w:sz w:val="20"/>
        <w:szCs w:val="20"/>
      </w:rPr>
    </w:lvl>
    <w:lvl w:ilvl="1" w:tplc="2DB00DF8">
      <w:numFmt w:val="bullet"/>
      <w:lvlText w:val="•"/>
      <w:lvlJc w:val="left"/>
      <w:pPr>
        <w:ind w:left="1454" w:hanging="345"/>
      </w:pPr>
      <w:rPr>
        <w:rFonts w:hint="default"/>
      </w:rPr>
    </w:lvl>
    <w:lvl w:ilvl="2" w:tplc="33641430">
      <w:numFmt w:val="bullet"/>
      <w:lvlText w:val="•"/>
      <w:lvlJc w:val="left"/>
      <w:pPr>
        <w:ind w:left="2429" w:hanging="345"/>
      </w:pPr>
      <w:rPr>
        <w:rFonts w:hint="default"/>
      </w:rPr>
    </w:lvl>
    <w:lvl w:ilvl="3" w:tplc="E996C52A">
      <w:numFmt w:val="bullet"/>
      <w:lvlText w:val="•"/>
      <w:lvlJc w:val="left"/>
      <w:pPr>
        <w:ind w:left="3403" w:hanging="345"/>
      </w:pPr>
      <w:rPr>
        <w:rFonts w:hint="default"/>
      </w:rPr>
    </w:lvl>
    <w:lvl w:ilvl="4" w:tplc="854AE7E0">
      <w:numFmt w:val="bullet"/>
      <w:lvlText w:val="•"/>
      <w:lvlJc w:val="left"/>
      <w:pPr>
        <w:ind w:left="4378" w:hanging="345"/>
      </w:pPr>
      <w:rPr>
        <w:rFonts w:hint="default"/>
      </w:rPr>
    </w:lvl>
    <w:lvl w:ilvl="5" w:tplc="3F226040">
      <w:numFmt w:val="bullet"/>
      <w:lvlText w:val="•"/>
      <w:lvlJc w:val="left"/>
      <w:pPr>
        <w:ind w:left="5352" w:hanging="345"/>
      </w:pPr>
      <w:rPr>
        <w:rFonts w:hint="default"/>
      </w:rPr>
    </w:lvl>
    <w:lvl w:ilvl="6" w:tplc="D2FEF46A">
      <w:numFmt w:val="bullet"/>
      <w:lvlText w:val="•"/>
      <w:lvlJc w:val="left"/>
      <w:pPr>
        <w:ind w:left="6327" w:hanging="345"/>
      </w:pPr>
      <w:rPr>
        <w:rFonts w:hint="default"/>
      </w:rPr>
    </w:lvl>
    <w:lvl w:ilvl="7" w:tplc="27649DEC">
      <w:numFmt w:val="bullet"/>
      <w:lvlText w:val="•"/>
      <w:lvlJc w:val="left"/>
      <w:pPr>
        <w:ind w:left="7301" w:hanging="345"/>
      </w:pPr>
      <w:rPr>
        <w:rFonts w:hint="default"/>
      </w:rPr>
    </w:lvl>
    <w:lvl w:ilvl="8" w:tplc="E09EB650">
      <w:numFmt w:val="bullet"/>
      <w:lvlText w:val="•"/>
      <w:lvlJc w:val="left"/>
      <w:pPr>
        <w:ind w:left="8276" w:hanging="345"/>
      </w:pPr>
      <w:rPr>
        <w:rFonts w:hint="default"/>
      </w:rPr>
    </w:lvl>
  </w:abstractNum>
  <w:abstractNum w:abstractNumId="3" w15:restartNumberingAfterBreak="0">
    <w:nsid w:val="4AEC76C0"/>
    <w:multiLevelType w:val="hybridMultilevel"/>
    <w:tmpl w:val="DBCA97E8"/>
    <w:lvl w:ilvl="0" w:tplc="94E82242">
      <w:start w:val="1"/>
      <w:numFmt w:val="bullet"/>
      <w:lvlText w:val="̶"/>
      <w:lvlJc w:val="left"/>
      <w:pPr>
        <w:ind w:left="849" w:hanging="360"/>
      </w:pPr>
      <w:rPr>
        <w:rFonts w:ascii="Arial" w:hAnsi="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4C96EE3"/>
    <w:multiLevelType w:val="hybridMultilevel"/>
    <w:tmpl w:val="7562A436"/>
    <w:lvl w:ilvl="0" w:tplc="621A0A72">
      <w:numFmt w:val="bullet"/>
      <w:lvlText w:val="-"/>
      <w:lvlJc w:val="left"/>
      <w:pPr>
        <w:ind w:left="849" w:hanging="360"/>
      </w:pPr>
      <w:rPr>
        <w:rFonts w:ascii="Arial" w:eastAsia="Arial" w:hAnsi="Arial" w:cs="Arial" w:hint="default"/>
        <w:color w:val="231F20"/>
        <w:spacing w:val="-1"/>
        <w:w w:val="100"/>
        <w:sz w:val="20"/>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DC54631"/>
    <w:multiLevelType w:val="hybridMultilevel"/>
    <w:tmpl w:val="FA5AFDF4"/>
    <w:lvl w:ilvl="0" w:tplc="58284DE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formatting="1" w:enforcement="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45A08DE-B552-4040-A1C5-66AF22E88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Corpsdetexte"/>
    <w:link w:val="Titre1Car"/>
    <w:uiPriority w:val="9"/>
    <w:qFormat/>
    <w:pPr>
      <w:jc w:val="center"/>
      <w:outlineLvl w:val="0"/>
    </w:pPr>
    <w:rPr>
      <w:b/>
      <w:bCs/>
      <w:sz w:val="24"/>
      <w:szCs w:val="24"/>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Pr>
      <w:sz w:val="20"/>
      <w:szCs w:val="20"/>
      <w:lang w:val="fr-FR"/>
    </w:rPr>
  </w:style>
  <w:style w:type="paragraph" w:styleId="Paragraphedeliste">
    <w:name w:val="List Paragraph"/>
    <w:basedOn w:val="Normal"/>
    <w:uiPriority w:val="1"/>
    <w:pPr>
      <w:spacing w:before="2"/>
      <w:ind w:left="474" w:hanging="346"/>
    </w:pPr>
  </w:style>
  <w:style w:type="paragraph" w:customStyle="1" w:styleId="TableParagraph">
    <w:name w:val="Table Paragraph"/>
    <w:basedOn w:val="Normal"/>
    <w:uiPriority w:val="1"/>
  </w:style>
  <w:style w:type="character" w:styleId="Lienhypertexte">
    <w:name w:val="Hyperlink"/>
    <w:basedOn w:val="Policepardfaut"/>
    <w:uiPriority w:val="99"/>
    <w:unhideWhenUsed/>
    <w:rPr>
      <w:color w:val="5770BE" w:themeColor="hyperlink"/>
      <w:u w:val="single"/>
    </w:rPr>
  </w:style>
  <w:style w:type="paragraph" w:customStyle="1" w:styleId="Date1">
    <w:name w:val="Date1"/>
    <w:basedOn w:val="Normal"/>
    <w:next w:val="Corpsdetexte"/>
    <w:link w:val="dateCar"/>
    <w:qFormat/>
    <w:rPr>
      <w:i/>
      <w:color w:val="231F20"/>
      <w:sz w:val="20"/>
      <w:lang w:val="fr-FR"/>
    </w:rPr>
  </w:style>
  <w:style w:type="paragraph" w:styleId="En-tte">
    <w:name w:val="header"/>
    <w:basedOn w:val="Normal"/>
    <w:link w:val="En-tteCar"/>
    <w:uiPriority w:val="99"/>
    <w:unhideWhenUsed/>
    <w:pPr>
      <w:tabs>
        <w:tab w:val="center" w:pos="4513"/>
        <w:tab w:val="right" w:pos="9026"/>
      </w:tabs>
    </w:pPr>
  </w:style>
  <w:style w:type="character" w:customStyle="1" w:styleId="dateCar">
    <w:name w:val="date Car"/>
    <w:basedOn w:val="Policepardfaut"/>
    <w:link w:val="Date1"/>
    <w:rPr>
      <w:i/>
      <w:color w:val="231F20"/>
      <w:sz w:val="20"/>
      <w:lang w:val="fr-FR"/>
    </w:rPr>
  </w:style>
  <w:style w:type="character" w:customStyle="1" w:styleId="En-tteCar">
    <w:name w:val="En-tête Car"/>
    <w:basedOn w:val="Policepardfaut"/>
    <w:link w:val="En-tte"/>
    <w:uiPriority w:val="99"/>
    <w:rPr>
      <w:rFonts w:ascii="Arial" w:eastAsia="Arial" w:hAnsi="Arial" w:cs="Arial"/>
    </w:rPr>
  </w:style>
  <w:style w:type="paragraph" w:styleId="Pieddepage">
    <w:name w:val="footer"/>
    <w:basedOn w:val="Normal"/>
    <w:link w:val="PieddepageCar"/>
    <w:uiPriority w:val="99"/>
    <w:unhideWhenUsed/>
    <w:pPr>
      <w:tabs>
        <w:tab w:val="center" w:pos="4513"/>
        <w:tab w:val="right" w:pos="9026"/>
      </w:tabs>
    </w:pPr>
  </w:style>
  <w:style w:type="character" w:customStyle="1" w:styleId="PieddepageCar">
    <w:name w:val="Pied de page Car"/>
    <w:basedOn w:val="Policepardfaut"/>
    <w:link w:val="Pieddepage"/>
    <w:uiPriority w:val="99"/>
    <w:rPr>
      <w:rFonts w:ascii="Arial" w:eastAsia="Arial" w:hAnsi="Arial" w:cs="Arial"/>
    </w:rPr>
  </w:style>
  <w:style w:type="paragraph" w:customStyle="1" w:styleId="Objet">
    <w:name w:val="Objet"/>
    <w:basedOn w:val="Corpsdetexte"/>
    <w:next w:val="Corpsdetexte"/>
    <w:link w:val="ObjetCar"/>
    <w:qFormat/>
    <w:pPr>
      <w:spacing w:before="103" w:line="242" w:lineRule="exact"/>
    </w:pPr>
    <w:rPr>
      <w:b/>
      <w:color w:val="231F20"/>
    </w:rPr>
  </w:style>
  <w:style w:type="paragraph" w:customStyle="1" w:styleId="Signat">
    <w:name w:val="Signat"/>
    <w:basedOn w:val="Titre1"/>
    <w:next w:val="Corpsdetexte"/>
    <w:link w:val="SignatCar"/>
    <w:qFormat/>
    <w:pPr>
      <w:jc w:val="right"/>
    </w:pPr>
    <w:rPr>
      <w:bCs w:val="0"/>
      <w:color w:val="231F20"/>
      <w:sz w:val="16"/>
      <w:szCs w:val="16"/>
    </w:rPr>
  </w:style>
  <w:style w:type="character" w:customStyle="1" w:styleId="CorpsdetexteCar">
    <w:name w:val="Corps de texte Car"/>
    <w:basedOn w:val="Policepardfaut"/>
    <w:link w:val="Corpsdetexte"/>
    <w:uiPriority w:val="1"/>
    <w:rPr>
      <w:sz w:val="20"/>
      <w:szCs w:val="20"/>
      <w:lang w:val="fr-FR"/>
    </w:rPr>
  </w:style>
  <w:style w:type="character" w:customStyle="1" w:styleId="ObjetCar">
    <w:name w:val="Objet Car"/>
    <w:basedOn w:val="CorpsdetexteCar"/>
    <w:link w:val="Objet"/>
    <w:rPr>
      <w:b/>
      <w:color w:val="231F20"/>
      <w:sz w:val="20"/>
      <w:szCs w:val="20"/>
      <w:lang w:val="fr-FR"/>
    </w:rPr>
  </w:style>
  <w:style w:type="character" w:customStyle="1" w:styleId="Titre1Car">
    <w:name w:val="Titre 1 Car"/>
    <w:basedOn w:val="Policepardfaut"/>
    <w:link w:val="Titre1"/>
    <w:uiPriority w:val="9"/>
    <w:rPr>
      <w:b/>
      <w:bCs/>
      <w:sz w:val="24"/>
      <w:szCs w:val="24"/>
      <w:lang w:val="fr-FR"/>
    </w:rPr>
  </w:style>
  <w:style w:type="character" w:customStyle="1" w:styleId="SignatCar">
    <w:name w:val="Signat Car"/>
    <w:basedOn w:val="Titre1Car"/>
    <w:link w:val="Signat"/>
    <w:rPr>
      <w:b/>
      <w:bCs w:val="0"/>
      <w:color w:val="231F20"/>
      <w:sz w:val="16"/>
      <w:szCs w:val="16"/>
      <w:lang w:val="fr-FR"/>
    </w:rPr>
  </w:style>
  <w:style w:type="paragraph" w:customStyle="1" w:styleId="Titredelapage">
    <w:name w:val="Titre de la page"/>
    <w:basedOn w:val="Normal"/>
    <w:link w:val="TitredelapageCar"/>
    <w:pPr>
      <w:widowControl/>
      <w:autoSpaceDE/>
      <w:autoSpaceDN/>
      <w:spacing w:after="120" w:line="264" w:lineRule="auto"/>
      <w:jc w:val="center"/>
    </w:pPr>
    <w:rPr>
      <w:rFonts w:asciiTheme="minorHAnsi" w:eastAsiaTheme="minorEastAsia" w:hAnsiTheme="minorHAnsi" w:cstheme="minorBidi"/>
      <w:b/>
      <w:bCs/>
      <w:sz w:val="24"/>
      <w:szCs w:val="20"/>
      <w:lang w:val="fr-FR" w:eastAsia="fr-FR"/>
    </w:rPr>
  </w:style>
  <w:style w:type="paragraph" w:customStyle="1" w:styleId="Sous-titrecentrbold">
    <w:name w:val="Sous-titre centré bold"/>
    <w:basedOn w:val="Titredelapage"/>
    <w:link w:val="Sous-titrecentrboldCar"/>
    <w:rPr>
      <w:sz w:val="16"/>
      <w:szCs w:val="16"/>
    </w:rPr>
  </w:style>
  <w:style w:type="character" w:customStyle="1" w:styleId="TitredelapageCar">
    <w:name w:val="Titre de la page Car"/>
    <w:link w:val="Titredelapage"/>
    <w:rPr>
      <w:rFonts w:eastAsiaTheme="minorEastAsia"/>
      <w:b/>
      <w:bCs/>
      <w:sz w:val="24"/>
      <w:szCs w:val="20"/>
      <w:lang w:val="fr-FR" w:eastAsia="fr-FR"/>
    </w:rPr>
  </w:style>
  <w:style w:type="character" w:customStyle="1" w:styleId="Sous-titrecentrboldCar">
    <w:name w:val="Sous-titre centré bold Car"/>
    <w:link w:val="Sous-titrecentrbold"/>
    <w:rPr>
      <w:rFonts w:eastAsiaTheme="minorEastAsia"/>
      <w:b/>
      <w:bCs/>
      <w:sz w:val="16"/>
      <w:szCs w:val="16"/>
      <w:lang w:val="fr-FR" w:eastAsia="fr-FR"/>
    </w:rPr>
  </w:style>
  <w:style w:type="paragraph" w:customStyle="1" w:styleId="Sous-titre1">
    <w:name w:val="Sous-titre1"/>
    <w:basedOn w:val="Normal"/>
    <w:next w:val="Corpsdetexte"/>
    <w:link w:val="Sous-titre1Car"/>
    <w:qFormat/>
    <w:pPr>
      <w:jc w:val="center"/>
    </w:pPr>
    <w:rPr>
      <w:b/>
      <w:bCs/>
      <w:sz w:val="16"/>
      <w:szCs w:val="16"/>
      <w:lang w:val="fr-FR"/>
    </w:rPr>
  </w:style>
  <w:style w:type="paragraph" w:customStyle="1" w:styleId="Sous-titre2">
    <w:name w:val="Sous-titre 2"/>
    <w:basedOn w:val="Sous-titre1"/>
    <w:next w:val="Corpsdetexte"/>
    <w:link w:val="Sous-titre2Car"/>
    <w:qFormat/>
    <w:rPr>
      <w:b w:val="0"/>
      <w:bCs w:val="0"/>
    </w:rPr>
  </w:style>
  <w:style w:type="character" w:customStyle="1" w:styleId="Sous-titre1Car">
    <w:name w:val="Sous-titre1 Car"/>
    <w:basedOn w:val="Policepardfaut"/>
    <w:link w:val="Sous-titre1"/>
    <w:rPr>
      <w:b/>
      <w:bCs/>
      <w:sz w:val="16"/>
      <w:szCs w:val="16"/>
      <w:lang w:val="fr-FR"/>
    </w:rPr>
  </w:style>
  <w:style w:type="paragraph" w:customStyle="1" w:styleId="Titre1demapage">
    <w:name w:val="Titre 1 de ma page"/>
    <w:basedOn w:val="Corpsdetexte"/>
    <w:next w:val="Corpsdetexte"/>
    <w:link w:val="Titre1demapageCar"/>
    <w:autoRedefine/>
    <w:qFormat/>
    <w:pPr>
      <w:spacing w:after="120"/>
    </w:pPr>
    <w:rPr>
      <w:rFonts w:ascii="Marianne" w:hAnsi="Marianne"/>
      <w:b/>
      <w:bCs/>
      <w:sz w:val="22"/>
      <w:szCs w:val="22"/>
    </w:rPr>
  </w:style>
  <w:style w:type="character" w:customStyle="1" w:styleId="Sous-titre2Car">
    <w:name w:val="Sous-titre 2 Car"/>
    <w:basedOn w:val="Sous-titre1Car"/>
    <w:link w:val="Sous-titre2"/>
    <w:rPr>
      <w:b w:val="0"/>
      <w:bCs w:val="0"/>
      <w:sz w:val="16"/>
      <w:szCs w:val="16"/>
      <w:lang w:val="fr-FR"/>
    </w:rPr>
  </w:style>
  <w:style w:type="paragraph" w:customStyle="1" w:styleId="Titre2demapage">
    <w:name w:val="Titre 2 de ma page"/>
    <w:basedOn w:val="Titre1demapage"/>
    <w:next w:val="Corpsdetexte"/>
    <w:link w:val="Titre2demapageCar"/>
    <w:autoRedefine/>
    <w:qFormat/>
    <w:pPr>
      <w:spacing w:line="276" w:lineRule="auto"/>
    </w:pPr>
    <w:rPr>
      <w:b w:val="0"/>
    </w:rPr>
  </w:style>
  <w:style w:type="character" w:customStyle="1" w:styleId="Titre1demapageCar">
    <w:name w:val="Titre 1 de ma page Car"/>
    <w:basedOn w:val="CorpsdetexteCar"/>
    <w:link w:val="Titre1demapage"/>
    <w:rPr>
      <w:rFonts w:ascii="Marianne" w:hAnsi="Marianne"/>
      <w:b/>
      <w:bCs/>
      <w:sz w:val="20"/>
      <w:szCs w:val="20"/>
      <w:lang w:val="fr-FR"/>
    </w:rPr>
  </w:style>
  <w:style w:type="paragraph" w:customStyle="1" w:styleId="Titre3demapage">
    <w:name w:val="Titre 3 de ma page"/>
    <w:basedOn w:val="Titre2demapage"/>
    <w:next w:val="Corpsdetexte"/>
    <w:link w:val="Titre3demapageCar"/>
    <w:qFormat/>
    <w:rPr>
      <w:b/>
      <w:bCs w:val="0"/>
    </w:rPr>
  </w:style>
  <w:style w:type="character" w:customStyle="1" w:styleId="Titre2demapageCar">
    <w:name w:val="Titre 2 de ma page Car"/>
    <w:basedOn w:val="Titre1demapageCar"/>
    <w:link w:val="Titre2demapage"/>
    <w:rPr>
      <w:rFonts w:ascii="Marianne" w:hAnsi="Marianne"/>
      <w:b w:val="0"/>
      <w:bCs/>
      <w:sz w:val="20"/>
      <w:szCs w:val="20"/>
      <w:lang w:val="fr-FR"/>
    </w:rPr>
  </w:style>
  <w:style w:type="character" w:customStyle="1" w:styleId="Titre3demapageCar">
    <w:name w:val="Titre 3 de ma page Car"/>
    <w:basedOn w:val="Titre2demapageCar"/>
    <w:link w:val="Titre3demapage"/>
    <w:rPr>
      <w:rFonts w:ascii="Marianne" w:hAnsi="Marianne"/>
      <w:b/>
      <w:bCs w:val="0"/>
      <w:sz w:val="16"/>
      <w:szCs w:val="16"/>
      <w:lang w:val="fr-FR"/>
    </w:rPr>
  </w:style>
  <w:style w:type="paragraph" w:customStyle="1" w:styleId="Date2">
    <w:name w:val="Date 2"/>
    <w:basedOn w:val="Date1"/>
    <w:next w:val="Corpsdetexte"/>
    <w:link w:val="Date2Car"/>
    <w:qFormat/>
    <w:pPr>
      <w:jc w:val="right"/>
    </w:pPr>
    <w:rPr>
      <w:sz w:val="16"/>
      <w:szCs w:val="16"/>
    </w:rPr>
  </w:style>
  <w:style w:type="paragraph" w:customStyle="1" w:styleId="PieddePage2">
    <w:name w:val="Pied de Page 2"/>
    <w:basedOn w:val="Normal"/>
    <w:next w:val="Corpsdetexte"/>
    <w:link w:val="PieddePage2Car"/>
    <w:qFormat/>
    <w:pPr>
      <w:spacing w:line="161" w:lineRule="exact"/>
    </w:pPr>
    <w:rPr>
      <w:color w:val="939598"/>
      <w:sz w:val="14"/>
      <w:lang w:val="fr-FR"/>
    </w:rPr>
  </w:style>
  <w:style w:type="character" w:customStyle="1" w:styleId="Date2Car">
    <w:name w:val="Date 2 Car"/>
    <w:basedOn w:val="dateCar"/>
    <w:link w:val="Date2"/>
    <w:rPr>
      <w:i/>
      <w:color w:val="231F20"/>
      <w:sz w:val="16"/>
      <w:szCs w:val="16"/>
      <w:lang w:val="fr-FR"/>
    </w:rPr>
  </w:style>
  <w:style w:type="paragraph" w:customStyle="1" w:styleId="Intituldirection">
    <w:name w:val="Intitulé direction"/>
    <w:basedOn w:val="En-tte"/>
    <w:next w:val="Corpsdetexte"/>
    <w:link w:val="IntituldirectionCar"/>
    <w:qFormat/>
    <w:pPr>
      <w:tabs>
        <w:tab w:val="clear" w:pos="4513"/>
      </w:tabs>
      <w:jc w:val="right"/>
    </w:pPr>
    <w:rPr>
      <w:b/>
      <w:bCs/>
      <w:sz w:val="24"/>
      <w:szCs w:val="24"/>
    </w:rPr>
  </w:style>
  <w:style w:type="character" w:customStyle="1" w:styleId="PieddePage2Car">
    <w:name w:val="Pied de Page 2 Car"/>
    <w:basedOn w:val="Policepardfaut"/>
    <w:link w:val="PieddePage2"/>
    <w:rPr>
      <w:color w:val="939598"/>
      <w:sz w:val="14"/>
      <w:lang w:val="fr-FR"/>
    </w:rPr>
  </w:style>
  <w:style w:type="character" w:customStyle="1" w:styleId="IntituldirectionCar">
    <w:name w:val="Intitulé direction Car"/>
    <w:basedOn w:val="En-tteCar"/>
    <w:link w:val="Intituldirection"/>
    <w:rPr>
      <w:rFonts w:ascii="Arial" w:eastAsia="Arial" w:hAnsi="Arial" w:cs="Arial"/>
      <w:b/>
      <w:bCs/>
      <w:sz w:val="24"/>
      <w:szCs w:val="24"/>
    </w:rPr>
  </w:style>
  <w:style w:type="paragraph" w:customStyle="1" w:styleId="IntituleDirecteur">
    <w:name w:val="Intitule Directeur"/>
    <w:basedOn w:val="Corpsdetexte"/>
    <w:next w:val="Corpsdetexte"/>
    <w:link w:val="IntituleDirecteurCar"/>
    <w:qFormat/>
    <w:rPr>
      <w:sz w:val="24"/>
      <w:szCs w:val="24"/>
    </w:rPr>
  </w:style>
  <w:style w:type="character" w:customStyle="1" w:styleId="IntituleDirecteurCar">
    <w:name w:val="Intitule Directeur Car"/>
    <w:basedOn w:val="CorpsdetexteCar"/>
    <w:link w:val="IntituleDirecteur"/>
    <w:rPr>
      <w:sz w:val="24"/>
      <w:szCs w:val="24"/>
      <w:lang w:val="fr-FR"/>
    </w:rPr>
  </w:style>
  <w:style w:type="paragraph" w:customStyle="1" w:styleId="Pieddepage20">
    <w:name w:val="Pied de page 2"/>
    <w:basedOn w:val="Normal"/>
    <w:next w:val="Corpsdetexte"/>
    <w:link w:val="Pieddepage2Car0"/>
    <w:qFormat/>
    <w:pPr>
      <w:spacing w:line="161" w:lineRule="exact"/>
    </w:pPr>
    <w:rPr>
      <w:color w:val="939598"/>
      <w:sz w:val="14"/>
      <w:lang w:val="fr-FR"/>
    </w:rPr>
  </w:style>
  <w:style w:type="character" w:customStyle="1" w:styleId="Pieddepage2Car0">
    <w:name w:val="Pied de page 2 Car"/>
    <w:basedOn w:val="Policepardfaut"/>
    <w:link w:val="Pieddepage20"/>
    <w:rPr>
      <w:color w:val="939598"/>
      <w:sz w:val="14"/>
      <w:lang w:val="fr-FR"/>
    </w:rPr>
  </w:style>
  <w:style w:type="character" w:styleId="Numrodepage">
    <w:name w:val="page number"/>
    <w:basedOn w:val="Policepardfaut"/>
    <w:uiPriority w:val="99"/>
    <w:semiHidden/>
    <w:unhideWhenUsed/>
  </w:style>
  <w:style w:type="character" w:customStyle="1" w:styleId="Mentionnonrsolue1">
    <w:name w:val="Mention non résolue1"/>
    <w:basedOn w:val="Policepardfaut"/>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6958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lebreton-adc\Downloads\modele_fiche%20(8).dotx" TargetMode="External"/></Relationships>
</file>

<file path=word/theme/theme1.xml><?xml version="1.0" encoding="utf-8"?>
<a:theme xmlns:a="http://schemas.openxmlformats.org/drawingml/2006/main" name="ministere">
  <a:themeElements>
    <a:clrScheme name="Marque Etat">
      <a:dk1>
        <a:sysClr val="windowText" lastClr="000000"/>
      </a:dk1>
      <a:lt1>
        <a:sysClr val="window" lastClr="FFFFFF"/>
      </a:lt1>
      <a:dk2>
        <a:srgbClr val="E1000F"/>
      </a:dk2>
      <a:lt2>
        <a:srgbClr val="000091"/>
      </a:lt2>
      <a:accent1>
        <a:srgbClr val="466964"/>
      </a:accent1>
      <a:accent2>
        <a:srgbClr val="484D7A"/>
      </a:accent2>
      <a:accent3>
        <a:srgbClr val="FDCF41"/>
      </a:accent3>
      <a:accent4>
        <a:srgbClr val="FF6F4C"/>
      </a:accent4>
      <a:accent5>
        <a:srgbClr val="A26859"/>
      </a:accent5>
      <a:accent6>
        <a:srgbClr val="D08A77"/>
      </a:accent6>
      <a:hlink>
        <a:srgbClr val="5770BE"/>
      </a:hlink>
      <a:folHlink>
        <a:srgbClr val="5770BE"/>
      </a:folHlink>
    </a:clrScheme>
    <a:fontScheme name="Ministère">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942739-8F32-401D-ABFA-6A78F3990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modele_fiche (8)</Template>
  <TotalTime>2</TotalTime>
  <Pages>4</Pages>
  <Words>1231</Words>
  <Characters>6771</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fiche</vt:lpstr>
    </vt:vector>
  </TitlesOfParts>
  <Company/>
  <LinksUpToDate>false</LinksUpToDate>
  <CharactersWithSpaces>7987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fiche</dc:title>
  <dc:creator>LEBRETON Claire</dc:creator>
  <cp:lastModifiedBy>LEBRETON Claire</cp:lastModifiedBy>
  <cp:revision>1</cp:revision>
  <dcterms:created xsi:type="dcterms:W3CDTF">2026-02-06T11:38:00Z</dcterms:created>
  <dcterms:modified xsi:type="dcterms:W3CDTF">2026-02-06T11:40:00Z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2020-02-23T00:00:00Z</vt:filetime>
  </property>
  <property fmtid="{D5CDD505-2E9C-101B-9397-08002B2CF9AE}" pid="3" name="Creator">
    <vt:lpwstr>Adobe Illustrator CC 22.1 (Macintosh)</vt:lpwstr>
  </property>
  <property fmtid="{D5CDD505-2E9C-101B-9397-08002B2CF9AE}" pid="4" name="LastSaved">
    <vt:filetime>2020-03-05T00:00:00Z</vt:filetime>
  </property>
</Properties>
</file>